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3C2" w:rsidRDefault="00E203C2" w:rsidP="00E203C2">
      <w:bookmarkStart w:id="0" w:name="_GoBack"/>
      <w:bookmarkEnd w:id="0"/>
      <w:r>
        <w:rPr>
          <w:noProof/>
          <w:lang w:eastAsia="en-GB" w:bidi="ar-SA"/>
        </w:rPr>
        <w:drawing>
          <wp:inline distT="0" distB="0" distL="0" distR="0" wp14:anchorId="41E56532" wp14:editId="1868160B">
            <wp:extent cx="3488400" cy="612000"/>
            <wp:effectExtent l="0" t="0" r="0" b="0"/>
            <wp:docPr id="3" name="Picture 3"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_Logo_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88400" cy="612000"/>
                    </a:xfrm>
                    <a:prstGeom prst="rect">
                      <a:avLst/>
                    </a:prstGeom>
                    <a:noFill/>
                    <a:ln>
                      <a:noFill/>
                    </a:ln>
                  </pic:spPr>
                </pic:pic>
              </a:graphicData>
            </a:graphic>
          </wp:inline>
        </w:drawing>
      </w:r>
    </w:p>
    <w:p w:rsidR="00E203C2" w:rsidRDefault="00E203C2" w:rsidP="00E203C2"/>
    <w:p w:rsidR="00092CDA" w:rsidRPr="005B7A73" w:rsidRDefault="00092CDA" w:rsidP="00690206">
      <w:pPr>
        <w:pStyle w:val="FSTitle"/>
        <w:rPr>
          <w:b/>
        </w:rPr>
      </w:pPr>
      <w:r w:rsidRPr="005B7A73">
        <w:rPr>
          <w:b/>
        </w:rPr>
        <w:t>S</w:t>
      </w:r>
      <w:r w:rsidR="00B12F1E" w:rsidRPr="005B7A73">
        <w:rPr>
          <w:b/>
        </w:rPr>
        <w:t>upporting documen</w:t>
      </w:r>
      <w:r w:rsidR="00B12F1E" w:rsidRPr="004816DD">
        <w:rPr>
          <w:b/>
          <w:color w:val="000000" w:themeColor="text1"/>
        </w:rPr>
        <w:t>t</w:t>
      </w:r>
      <w:r w:rsidRPr="004816DD">
        <w:rPr>
          <w:b/>
          <w:color w:val="000000" w:themeColor="text1"/>
        </w:rPr>
        <w:t xml:space="preserve"> </w:t>
      </w:r>
      <w:r w:rsidR="004816DD" w:rsidRPr="004816DD">
        <w:rPr>
          <w:b/>
          <w:color w:val="000000" w:themeColor="text1"/>
        </w:rPr>
        <w:t>1</w:t>
      </w:r>
    </w:p>
    <w:p w:rsidR="00BA24E2" w:rsidRDefault="00BA24E2" w:rsidP="00E203C2"/>
    <w:p w:rsidR="008223F6" w:rsidRPr="00231809" w:rsidRDefault="00320839" w:rsidP="00690206">
      <w:pPr>
        <w:pStyle w:val="FSTitle"/>
        <w:rPr>
          <w:color w:val="000000" w:themeColor="text1"/>
          <w:sz w:val="22"/>
          <w:szCs w:val="22"/>
        </w:rPr>
      </w:pPr>
      <w:r w:rsidRPr="00F65CF2">
        <w:rPr>
          <w:color w:val="000000" w:themeColor="text1"/>
        </w:rPr>
        <w:t>Risk assessment</w:t>
      </w:r>
      <w:r w:rsidR="00B739BC">
        <w:rPr>
          <w:color w:val="000000" w:themeColor="text1"/>
        </w:rPr>
        <w:t xml:space="preserve"> (at Approval) –</w:t>
      </w:r>
      <w:r w:rsidR="00B739BC" w:rsidRPr="00B739BC">
        <w:rPr>
          <w:color w:val="000000" w:themeColor="text1"/>
        </w:rPr>
        <w:t xml:space="preserve"> </w:t>
      </w:r>
      <w:r w:rsidR="00B739BC" w:rsidRPr="00F65CF2">
        <w:rPr>
          <w:color w:val="000000" w:themeColor="text1"/>
        </w:rPr>
        <w:t>Proposal P1029</w:t>
      </w:r>
    </w:p>
    <w:p w:rsidR="009F1C08" w:rsidRPr="00CC036B" w:rsidRDefault="009F1C08" w:rsidP="00690206">
      <w:pPr>
        <w:pStyle w:val="FSTitle"/>
        <w:rPr>
          <w:color w:val="000000" w:themeColor="text1"/>
          <w:sz w:val="22"/>
          <w:szCs w:val="22"/>
        </w:rPr>
      </w:pPr>
    </w:p>
    <w:p w:rsidR="00D056F1" w:rsidRPr="00690206" w:rsidRDefault="00F65CF2" w:rsidP="00690206">
      <w:pPr>
        <w:pStyle w:val="FSTitle"/>
        <w:rPr>
          <w:color w:val="FF0000"/>
        </w:rPr>
      </w:pPr>
      <w:r w:rsidRPr="00F65CF2">
        <w:rPr>
          <w:color w:val="000000" w:themeColor="text1"/>
        </w:rPr>
        <w:t>Maximum Level for Tutin in Honey</w:t>
      </w:r>
    </w:p>
    <w:p w:rsidR="00E203C2" w:rsidRPr="00B37BF0" w:rsidRDefault="00E203C2" w:rsidP="00E203C2">
      <w:pPr>
        <w:pBdr>
          <w:bottom w:val="single" w:sz="12" w:space="1" w:color="auto"/>
        </w:pBdr>
        <w:spacing w:line="280" w:lineRule="exact"/>
        <w:rPr>
          <w:rFonts w:cs="Arial"/>
          <w:bCs/>
        </w:rPr>
      </w:pPr>
    </w:p>
    <w:p w:rsidR="00E203C2" w:rsidRPr="00B37BF0" w:rsidRDefault="00E203C2" w:rsidP="00E203C2"/>
    <w:p w:rsidR="00092CDA" w:rsidRPr="00092CDA" w:rsidRDefault="00092CDA" w:rsidP="00352CF2">
      <w:pPr>
        <w:pStyle w:val="Heading1"/>
        <w:spacing w:before="0"/>
      </w:pPr>
      <w:bookmarkStart w:id="1" w:name="_Toc286391001"/>
      <w:bookmarkStart w:id="2" w:name="_Toc300933414"/>
      <w:bookmarkStart w:id="3" w:name="_Toc401143906"/>
      <w:r w:rsidRPr="00092CDA">
        <w:t xml:space="preserve">Executive </w:t>
      </w:r>
      <w:r w:rsidR="00B12F1E">
        <w:t>s</w:t>
      </w:r>
      <w:r w:rsidRPr="00092CDA">
        <w:t>ummary</w:t>
      </w:r>
      <w:bookmarkEnd w:id="1"/>
      <w:bookmarkEnd w:id="2"/>
      <w:bookmarkEnd w:id="3"/>
    </w:p>
    <w:p w:rsidR="00EE5B1F" w:rsidRDefault="00EE5B1F" w:rsidP="001E046A">
      <w:r>
        <w:t xml:space="preserve">Tutin is a plant-derived neurotoxin which is sometimes </w:t>
      </w:r>
      <w:r w:rsidR="002A4EB0">
        <w:t xml:space="preserve">detected </w:t>
      </w:r>
      <w:r>
        <w:t xml:space="preserve">in New Zealand honey. </w:t>
      </w:r>
      <w:r w:rsidR="00584319">
        <w:t>T</w:t>
      </w:r>
      <w:r w:rsidR="00584319" w:rsidRPr="00584319">
        <w:t xml:space="preserve">utin contamination of honey occurs when bees gather honeydew from an insect that feeds on sap </w:t>
      </w:r>
      <w:r w:rsidR="00584319">
        <w:t xml:space="preserve">of the shrub </w:t>
      </w:r>
      <w:r w:rsidR="00584319" w:rsidRPr="008A5166">
        <w:rPr>
          <w:i/>
        </w:rPr>
        <w:t xml:space="preserve">Coriaria arborea </w:t>
      </w:r>
      <w:r w:rsidR="00584319">
        <w:t xml:space="preserve">(“tutu”). </w:t>
      </w:r>
      <w:r>
        <w:t>Consumption of tutu honeydew honey can result in serious acute adverse health effects.</w:t>
      </w:r>
      <w:r w:rsidRPr="00B3546C">
        <w:t xml:space="preserve"> </w:t>
      </w:r>
      <w:r w:rsidR="008A5166">
        <w:t>T</w:t>
      </w:r>
      <w:r>
        <w:t xml:space="preserve">emporary maximum levels (MLs) for tutin in honey and comb honey </w:t>
      </w:r>
      <w:r w:rsidR="008A5166">
        <w:t>of 2 mg/kg and 0.1 mg/kg</w:t>
      </w:r>
      <w:r w:rsidR="008C0534">
        <w:t>,</w:t>
      </w:r>
      <w:r w:rsidR="008A5166">
        <w:t xml:space="preserve"> respectively</w:t>
      </w:r>
      <w:r w:rsidR="008C0534">
        <w:t>,</w:t>
      </w:r>
      <w:r w:rsidR="008A5166">
        <w:t xml:space="preserve"> currently exist </w:t>
      </w:r>
      <w:r>
        <w:t xml:space="preserve">in the </w:t>
      </w:r>
      <w:r w:rsidRPr="007C578B">
        <w:rPr>
          <w:i/>
        </w:rPr>
        <w:t>Australia New Zealand Food Standards Code</w:t>
      </w:r>
      <w:r>
        <w:t xml:space="preserve"> (Standard 1.4.1 – Contaminants and Natural Toxicants).</w:t>
      </w:r>
    </w:p>
    <w:p w:rsidR="00EE5B1F" w:rsidRDefault="00EE5B1F" w:rsidP="001E046A"/>
    <w:p w:rsidR="001E046A" w:rsidRPr="001E046A" w:rsidRDefault="005F296E" w:rsidP="001E046A">
      <w:r w:rsidRPr="00C73513">
        <w:t xml:space="preserve">For </w:t>
      </w:r>
      <w:r w:rsidR="00EE5B1F">
        <w:t xml:space="preserve">acute </w:t>
      </w:r>
      <w:r w:rsidR="00CF1F47" w:rsidRPr="00C73513">
        <w:t>neuro</w:t>
      </w:r>
      <w:r w:rsidR="00877EF6" w:rsidRPr="00C73513">
        <w:t>toxins</w:t>
      </w:r>
      <w:r>
        <w:t xml:space="preserve">, such as tutin, </w:t>
      </w:r>
      <w:r w:rsidR="00E66F6D">
        <w:t xml:space="preserve">severe </w:t>
      </w:r>
      <w:r>
        <w:t xml:space="preserve">symptoms of poisoning </w:t>
      </w:r>
      <w:r w:rsidR="0023175B">
        <w:t>(e</w:t>
      </w:r>
      <w:r w:rsidR="00D14BD5">
        <w:t>.</w:t>
      </w:r>
      <w:r w:rsidR="0023175B">
        <w:t xml:space="preserve">g. </w:t>
      </w:r>
      <w:r w:rsidR="00E66F6D">
        <w:t>t</w:t>
      </w:r>
      <w:r w:rsidR="0023175B">
        <w:t>onic</w:t>
      </w:r>
      <w:r w:rsidR="00E66F6D">
        <w:t>-</w:t>
      </w:r>
      <w:r w:rsidR="0023175B">
        <w:t xml:space="preserve">clonic </w:t>
      </w:r>
      <w:r w:rsidR="0023175B" w:rsidRPr="00962637">
        <w:t>convulsions</w:t>
      </w:r>
      <w:r w:rsidR="0023175B">
        <w:t xml:space="preserve">) </w:t>
      </w:r>
      <w:r>
        <w:t xml:space="preserve">usually correspond to the time taken to achieve their maximal concentration in </w:t>
      </w:r>
      <w:r w:rsidR="004C7450">
        <w:t>serum</w:t>
      </w:r>
      <w:r>
        <w:t xml:space="preserve"> (</w:t>
      </w:r>
      <w:r w:rsidR="002D2C76">
        <w:t xml:space="preserve">typically less than </w:t>
      </w:r>
      <w:r w:rsidR="00E66F6D">
        <w:t>3-4</w:t>
      </w:r>
      <w:r>
        <w:t xml:space="preserve"> hours</w:t>
      </w:r>
      <w:r w:rsidR="00857A4B">
        <w:t xml:space="preserve"> after ingestion</w:t>
      </w:r>
      <w:r>
        <w:t xml:space="preserve">). However, </w:t>
      </w:r>
      <w:r w:rsidR="00E66F6D">
        <w:t xml:space="preserve">the </w:t>
      </w:r>
      <w:r w:rsidR="001E046A" w:rsidRPr="001E046A">
        <w:t xml:space="preserve">large variability in the onset time of clinical signs and symptoms of toxicity (0.5 to 17 h with a median of 7.5 h) following </w:t>
      </w:r>
      <w:r w:rsidR="00DE36D0" w:rsidRPr="00E16FF1">
        <w:t>tut</w:t>
      </w:r>
      <w:r w:rsidR="00CF1F47" w:rsidRPr="00E16FF1">
        <w:t>u</w:t>
      </w:r>
      <w:r w:rsidR="00DE36D0">
        <w:t xml:space="preserve"> honeydew </w:t>
      </w:r>
      <w:r w:rsidR="001E046A" w:rsidRPr="001E046A">
        <w:t>honey ingestion</w:t>
      </w:r>
      <w:r w:rsidR="00663A9A" w:rsidRPr="00663A9A">
        <w:t xml:space="preserve"> </w:t>
      </w:r>
      <w:r w:rsidR="00663A9A">
        <w:t xml:space="preserve">in </w:t>
      </w:r>
      <w:r w:rsidR="00663A9A" w:rsidRPr="00663A9A">
        <w:t>the 2008 human poisoning incident</w:t>
      </w:r>
      <w:r w:rsidR="00E66F6D">
        <w:t xml:space="preserve"> was difficult to explain</w:t>
      </w:r>
      <w:r w:rsidR="001E046A" w:rsidRPr="001E046A">
        <w:t>. To investigate this variability</w:t>
      </w:r>
      <w:r w:rsidR="00822C37">
        <w:t xml:space="preserve">, which was considered to have potential implications for </w:t>
      </w:r>
      <w:r w:rsidR="00E66F6D">
        <w:t>the existing ML</w:t>
      </w:r>
      <w:r w:rsidR="008C0534">
        <w:t>s</w:t>
      </w:r>
      <w:r w:rsidR="00E66F6D">
        <w:t xml:space="preserve"> for tutin</w:t>
      </w:r>
      <w:r w:rsidR="001E046A" w:rsidRPr="001E046A">
        <w:t xml:space="preserve">, a </w:t>
      </w:r>
      <w:r w:rsidR="00ED4B17">
        <w:t xml:space="preserve">human </w:t>
      </w:r>
      <w:r w:rsidR="001E046A" w:rsidRPr="001E046A">
        <w:t xml:space="preserve">pharmacokinetic study was conducted in which 6 healthy </w:t>
      </w:r>
      <w:r w:rsidR="00ED4B17">
        <w:t xml:space="preserve">adult </w:t>
      </w:r>
      <w:r w:rsidR="001E046A" w:rsidRPr="001E046A">
        <w:t>male</w:t>
      </w:r>
      <w:r w:rsidR="00ED4B17">
        <w:t>s</w:t>
      </w:r>
      <w:r w:rsidR="001E046A" w:rsidRPr="001E046A">
        <w:t xml:space="preserve"> each received a single oral dose of </w:t>
      </w:r>
      <w:r w:rsidR="00CF1F47" w:rsidRPr="00E16FF1">
        <w:t>tutu honeydew</w:t>
      </w:r>
      <w:r w:rsidR="00CF1F47">
        <w:t xml:space="preserve"> </w:t>
      </w:r>
      <w:r w:rsidR="001E046A" w:rsidRPr="001E046A">
        <w:t>honey. The tutin dose received by the volunteers was equivalent to that received by a high consumer of honey (97.5</w:t>
      </w:r>
      <w:r w:rsidR="001E046A" w:rsidRPr="001E046A">
        <w:rPr>
          <w:vertAlign w:val="superscript"/>
        </w:rPr>
        <w:t>th</w:t>
      </w:r>
      <w:r w:rsidR="001E046A" w:rsidRPr="001E046A">
        <w:t xml:space="preserve"> percentile</w:t>
      </w:r>
      <w:r w:rsidR="00D14BD5">
        <w:t xml:space="preserve">) that </w:t>
      </w:r>
      <w:r w:rsidR="001E046A" w:rsidRPr="001E046A">
        <w:t>contain</w:t>
      </w:r>
      <w:r w:rsidR="00D14BD5">
        <w:t>s</w:t>
      </w:r>
      <w:r w:rsidR="001E046A" w:rsidRPr="001E046A">
        <w:t xml:space="preserve"> tutin at the ML of 2 mg/kg.</w:t>
      </w:r>
    </w:p>
    <w:p w:rsidR="001E046A" w:rsidRPr="001E046A" w:rsidRDefault="001E046A" w:rsidP="001E046A">
      <w:pPr>
        <w:rPr>
          <w:rFonts w:eastAsiaTheme="minorHAnsi" w:cstheme="minorBidi"/>
          <w:szCs w:val="22"/>
          <w:lang w:bidi="ar-SA"/>
        </w:rPr>
      </w:pPr>
    </w:p>
    <w:p w:rsidR="00D14BD5" w:rsidRDefault="001E046A" w:rsidP="001E046A">
      <w:r w:rsidRPr="001E046A">
        <w:t>The serum tutin concentration profile for all volunteers exhibited two discrete peaks, with the first at 0.5 to 1.5 hours post-dose, and the second and higher serum level occurring at 8 to 16 hours post-dose. Transient mild light-headedness was reported by two out of 6 subjects at a time post-dose corresponding to peak 1, while transient mild headache was reported by the same two subjects at approximately peak 2. No other adverse effects were observed in the study</w:t>
      </w:r>
      <w:r w:rsidR="00D14BD5">
        <w:t>.</w:t>
      </w:r>
    </w:p>
    <w:p w:rsidR="001E046A" w:rsidRPr="001E046A" w:rsidRDefault="001E046A" w:rsidP="001E046A"/>
    <w:p w:rsidR="001E046A" w:rsidRPr="001E046A" w:rsidRDefault="001E046A" w:rsidP="001E046A">
      <w:r w:rsidRPr="001E046A">
        <w:t>It was speculated that peak 1 was due to rapid systemic absorption of tutin while peak 2 was due to tutin released in a delayed and sustained manner from a hitherto unidentified source of additional tutin</w:t>
      </w:r>
      <w:r w:rsidR="002A4EB0">
        <w:t xml:space="preserve"> in honey</w:t>
      </w:r>
      <w:r w:rsidRPr="001E046A">
        <w:t xml:space="preserve">, such as conjugates of tutin. Subsequent chemical analysis revealed the presence of substantial amounts of various tutin glycosides in the administered honey sample. Further analysis of </w:t>
      </w:r>
      <w:r w:rsidR="00007DDB">
        <w:t>this</w:t>
      </w:r>
      <w:r w:rsidRPr="001E046A">
        <w:t xml:space="preserve"> honey sample and 14 other honey samples</w:t>
      </w:r>
      <w:r w:rsidRPr="001E046A">
        <w:rPr>
          <w:lang w:eastAsia="en-AU" w:bidi="ar-SA"/>
        </w:rPr>
        <w:t xml:space="preserve"> indicated that (i) </w:t>
      </w:r>
      <w:r w:rsidRPr="001E046A">
        <w:t>four tutin glycosides account for the majority of tutin glycosides in honey, (ii)</w:t>
      </w:r>
      <w:r w:rsidR="00932EDF">
        <w:t> </w:t>
      </w:r>
      <w:r w:rsidRPr="001E046A">
        <w:t>the ratio of the sum of these four tutin glycosides to tutin varied over an approximately 5-fold range, and (iii) honey samples that contained no detectable tutin</w:t>
      </w:r>
      <w:r w:rsidR="00527E55">
        <w:t xml:space="preserve"> </w:t>
      </w:r>
      <w:r w:rsidRPr="001E046A">
        <w:t>also contained no detectable tutin glycosides.</w:t>
      </w:r>
    </w:p>
    <w:p w:rsidR="001E046A" w:rsidRPr="001E046A" w:rsidRDefault="001E046A" w:rsidP="001E046A"/>
    <w:p w:rsidR="00B739BC" w:rsidRDefault="001E046A" w:rsidP="001E046A">
      <w:r w:rsidRPr="001E046A">
        <w:t xml:space="preserve">Based on the results of the human pharmacokinetic study, it is considered possible that adverse effects such as mild light-headedness and headache may be experienced following the consumption of honey containing tutin at the current ML of 2 mg/kg. </w:t>
      </w:r>
      <w:r w:rsidR="00B739BC">
        <w:br w:type="page"/>
      </w:r>
    </w:p>
    <w:p w:rsidR="001E046A" w:rsidRPr="001E046A" w:rsidRDefault="001E046A" w:rsidP="001E046A">
      <w:r w:rsidRPr="001E046A">
        <w:lastRenderedPageBreak/>
        <w:t xml:space="preserve">Such adverse effects are more likely if a large amount of honey (≥0.9 g of honey per kg bodyweight) is consumed in one sitting, as was the case in the pharmacokinetic study. The risk of adverse effects is increased if the ingested honey </w:t>
      </w:r>
      <w:r w:rsidR="002A4EB0">
        <w:t>has a</w:t>
      </w:r>
      <w:r w:rsidR="00CB0EFB">
        <w:t xml:space="preserve"> ratio of</w:t>
      </w:r>
      <w:r w:rsidR="00486CB1">
        <w:t xml:space="preserve"> tutin glycosides</w:t>
      </w:r>
      <w:r w:rsidR="00CB0EFB">
        <w:t xml:space="preserve"> to tutin</w:t>
      </w:r>
      <w:r w:rsidR="00486CB1">
        <w:t xml:space="preserve"> </w:t>
      </w:r>
      <w:r w:rsidRPr="001E046A">
        <w:t xml:space="preserve">at the high end of the observed range. </w:t>
      </w:r>
    </w:p>
    <w:p w:rsidR="001E046A" w:rsidRPr="001E046A" w:rsidRDefault="001E046A" w:rsidP="001E046A"/>
    <w:p w:rsidR="0049663E" w:rsidRPr="0049663E" w:rsidRDefault="001E046A" w:rsidP="0049663E">
      <w:r w:rsidRPr="001E046A">
        <w:t>As no method is currently available for the quantification of tutin glycosides in honey, the continued use of an ML based on the level of tutin</w:t>
      </w:r>
      <w:r w:rsidR="00007DDB">
        <w:t xml:space="preserve"> </w:t>
      </w:r>
      <w:r w:rsidRPr="001E046A">
        <w:t>is necessary. In order to protect consumers from minor adverse effects such as those reported in the pharmacokinetic study, a reduction in the ML by a factor of 3 is proposed</w:t>
      </w:r>
      <w:r w:rsidR="0049663E">
        <w:t xml:space="preserve">, </w:t>
      </w:r>
      <w:r w:rsidR="0049663E" w:rsidRPr="0049663E">
        <w:t xml:space="preserve">resulting in a revised ML of 0.7 mg/kg for honey. </w:t>
      </w:r>
    </w:p>
    <w:p w:rsidR="001E046A" w:rsidRPr="001E046A" w:rsidRDefault="001E046A" w:rsidP="001E046A"/>
    <w:p w:rsidR="0015607C" w:rsidRPr="001E046A" w:rsidRDefault="001E046A" w:rsidP="0015607C">
      <w:r w:rsidRPr="001E046A">
        <w:t xml:space="preserve">Assessing the risk for comb honey is </w:t>
      </w:r>
      <w:r w:rsidR="00DC5227">
        <w:t>not possible</w:t>
      </w:r>
      <w:r w:rsidR="00DC5227" w:rsidRPr="001E046A">
        <w:t xml:space="preserve"> </w:t>
      </w:r>
      <w:r w:rsidRPr="001E046A">
        <w:t>because there are insufficient data on the degree of variability of tutin levels across combs. It is conceivable that the tutin level in honey sampled from a specific portion of comb could differ markedly from the tutin level in another part of the comb. Similarly, the tutin level determined for a hive “drip” sample may differ markedly from that in a portion of comb taken from that hive.</w:t>
      </w:r>
      <w:r w:rsidR="00526826" w:rsidRPr="00526826">
        <w:t xml:space="preserve"> </w:t>
      </w:r>
      <w:r w:rsidR="0015607C">
        <w:rPr>
          <w:szCs w:val="22"/>
          <w:lang w:val="en-AU"/>
        </w:rPr>
        <w:t>Provided consumers are not exposed to tutin concentrations above 0.7 mg/kg in comb honey, the risk of adverse effects is low.</w:t>
      </w:r>
    </w:p>
    <w:p w:rsidR="001E046A" w:rsidRPr="001E046A" w:rsidRDefault="001E046A" w:rsidP="001E046A"/>
    <w:p w:rsidR="000F3652" w:rsidRDefault="000F3652" w:rsidP="00690206"/>
    <w:p w:rsidR="00092CDA" w:rsidRPr="00423984" w:rsidRDefault="00092CDA" w:rsidP="00690206">
      <w:pPr>
        <w:numPr>
          <w:ilvl w:val="0"/>
          <w:numId w:val="6"/>
        </w:numPr>
        <w:rPr>
          <w:b/>
        </w:rPr>
        <w:sectPr w:rsidR="00092CDA" w:rsidRPr="00423984" w:rsidSect="007C578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709" w:footer="709" w:gutter="0"/>
          <w:pgNumType w:fmt="lowerRoman" w:start="1"/>
          <w:cols w:space="708"/>
          <w:docGrid w:linePitch="360"/>
        </w:sectPr>
      </w:pPr>
    </w:p>
    <w:p w:rsidR="00A128B3" w:rsidRPr="00A128B3" w:rsidRDefault="00A128B3" w:rsidP="00A128B3">
      <w:pPr>
        <w:ind w:left="851" w:hanging="851"/>
        <w:outlineLvl w:val="0"/>
        <w:rPr>
          <w:rFonts w:cs="Arial"/>
          <w:b/>
          <w:bCs/>
          <w:kern w:val="32"/>
          <w:sz w:val="36"/>
          <w:szCs w:val="36"/>
        </w:rPr>
      </w:pPr>
      <w:bookmarkStart w:id="4" w:name="_Toc360028589"/>
      <w:r w:rsidRPr="00A128B3">
        <w:rPr>
          <w:rFonts w:cs="Arial"/>
          <w:b/>
          <w:bCs/>
          <w:kern w:val="32"/>
          <w:sz w:val="36"/>
          <w:szCs w:val="36"/>
        </w:rPr>
        <w:lastRenderedPageBreak/>
        <w:t>Abbreviations</w:t>
      </w:r>
      <w:bookmarkEnd w:id="4"/>
    </w:p>
    <w:p w:rsidR="00A128B3" w:rsidRPr="00A128B3" w:rsidRDefault="00A128B3" w:rsidP="00A128B3">
      <w:pPr>
        <w:rPr>
          <w:rFonts w:cs="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2116"/>
        <w:gridCol w:w="2169"/>
        <w:gridCol w:w="2885"/>
      </w:tblGrid>
      <w:tr w:rsidR="001A1AF4" w:rsidRPr="00A128B3" w:rsidTr="00FB6589">
        <w:tc>
          <w:tcPr>
            <w:tcW w:w="1964" w:type="dxa"/>
          </w:tcPr>
          <w:p w:rsidR="001A1AF4" w:rsidRPr="00A128B3" w:rsidRDefault="001A1AF4" w:rsidP="00A128B3">
            <w:pPr>
              <w:rPr>
                <w:rFonts w:cs="Arial"/>
                <w:sz w:val="20"/>
                <w:szCs w:val="20"/>
              </w:rPr>
            </w:pPr>
            <w:r w:rsidRPr="00A128B3">
              <w:rPr>
                <w:rFonts w:cs="Arial"/>
                <w:b/>
                <w:sz w:val="20"/>
                <w:szCs w:val="20"/>
                <w:u w:val="single"/>
              </w:rPr>
              <w:t>Time</w:t>
            </w:r>
          </w:p>
        </w:tc>
        <w:tc>
          <w:tcPr>
            <w:tcW w:w="2116" w:type="dxa"/>
          </w:tcPr>
          <w:p w:rsidR="001A1AF4" w:rsidRPr="00A128B3" w:rsidRDefault="001A1AF4" w:rsidP="00A128B3">
            <w:pPr>
              <w:rPr>
                <w:rFonts w:cs="Arial"/>
                <w:sz w:val="20"/>
                <w:szCs w:val="20"/>
              </w:rPr>
            </w:pPr>
          </w:p>
        </w:tc>
        <w:tc>
          <w:tcPr>
            <w:tcW w:w="2169" w:type="dxa"/>
          </w:tcPr>
          <w:p w:rsidR="001A1AF4" w:rsidRPr="00A128B3" w:rsidRDefault="001A1AF4" w:rsidP="00A128B3">
            <w:pPr>
              <w:rPr>
                <w:rFonts w:cs="Arial"/>
                <w:sz w:val="20"/>
                <w:szCs w:val="20"/>
              </w:rPr>
            </w:pPr>
            <w:r w:rsidRPr="00A128B3">
              <w:rPr>
                <w:rFonts w:cs="Arial"/>
                <w:b/>
                <w:sz w:val="20"/>
                <w:szCs w:val="20"/>
                <w:u w:val="single"/>
              </w:rPr>
              <w:t>Weight</w:t>
            </w:r>
          </w:p>
        </w:tc>
        <w:tc>
          <w:tcPr>
            <w:tcW w:w="2885" w:type="dxa"/>
          </w:tcPr>
          <w:p w:rsidR="001A1AF4" w:rsidRPr="00A128B3" w:rsidRDefault="001A1AF4" w:rsidP="00A128B3">
            <w:pPr>
              <w:rPr>
                <w:rFonts w:cs="Arial"/>
                <w:sz w:val="20"/>
                <w:szCs w:val="20"/>
              </w:rPr>
            </w:pPr>
          </w:p>
        </w:tc>
      </w:tr>
      <w:tr w:rsidR="00A128B3" w:rsidRPr="00A128B3" w:rsidTr="00484A55">
        <w:tc>
          <w:tcPr>
            <w:tcW w:w="1964" w:type="dxa"/>
          </w:tcPr>
          <w:p w:rsidR="00A128B3" w:rsidRPr="00A128B3" w:rsidRDefault="00A128B3" w:rsidP="00A128B3">
            <w:pPr>
              <w:rPr>
                <w:rFonts w:cs="Arial"/>
                <w:sz w:val="20"/>
                <w:szCs w:val="20"/>
              </w:rPr>
            </w:pPr>
            <w:r w:rsidRPr="00A128B3">
              <w:rPr>
                <w:rFonts w:cs="Arial"/>
                <w:sz w:val="20"/>
                <w:szCs w:val="20"/>
              </w:rPr>
              <w:t>sec</w:t>
            </w:r>
          </w:p>
        </w:tc>
        <w:tc>
          <w:tcPr>
            <w:tcW w:w="2116" w:type="dxa"/>
          </w:tcPr>
          <w:p w:rsidR="00A128B3" w:rsidRPr="00A128B3" w:rsidRDefault="00A128B3" w:rsidP="00A128B3">
            <w:pPr>
              <w:rPr>
                <w:rFonts w:cs="Arial"/>
                <w:sz w:val="20"/>
                <w:szCs w:val="20"/>
              </w:rPr>
            </w:pPr>
            <w:r w:rsidRPr="00A128B3">
              <w:rPr>
                <w:rFonts w:cs="Arial"/>
                <w:sz w:val="20"/>
                <w:szCs w:val="20"/>
              </w:rPr>
              <w:t>Second</w:t>
            </w:r>
          </w:p>
        </w:tc>
        <w:tc>
          <w:tcPr>
            <w:tcW w:w="2169" w:type="dxa"/>
          </w:tcPr>
          <w:p w:rsidR="00A128B3" w:rsidRPr="00A128B3" w:rsidRDefault="00A128B3" w:rsidP="00A128B3">
            <w:pPr>
              <w:rPr>
                <w:rFonts w:cs="Arial"/>
                <w:sz w:val="20"/>
                <w:szCs w:val="20"/>
              </w:rPr>
            </w:pPr>
            <w:r w:rsidRPr="00A128B3">
              <w:rPr>
                <w:rFonts w:cs="Arial"/>
                <w:sz w:val="20"/>
                <w:szCs w:val="20"/>
              </w:rPr>
              <w:t>bw</w:t>
            </w:r>
          </w:p>
        </w:tc>
        <w:tc>
          <w:tcPr>
            <w:tcW w:w="2885" w:type="dxa"/>
          </w:tcPr>
          <w:p w:rsidR="00A128B3" w:rsidRPr="00A128B3" w:rsidRDefault="00A128B3" w:rsidP="00A128B3">
            <w:pPr>
              <w:rPr>
                <w:rFonts w:cs="Arial"/>
                <w:sz w:val="20"/>
                <w:szCs w:val="20"/>
              </w:rPr>
            </w:pPr>
            <w:r w:rsidRPr="00A128B3">
              <w:rPr>
                <w:rFonts w:cs="Arial"/>
                <w:sz w:val="20"/>
                <w:szCs w:val="20"/>
              </w:rPr>
              <w:t>Bodyweight</w:t>
            </w:r>
          </w:p>
        </w:tc>
      </w:tr>
      <w:tr w:rsidR="00484A55" w:rsidRPr="00A128B3" w:rsidTr="00484A55">
        <w:tc>
          <w:tcPr>
            <w:tcW w:w="1964" w:type="dxa"/>
          </w:tcPr>
          <w:p w:rsidR="00484A55" w:rsidRPr="00A128B3" w:rsidRDefault="00484A55" w:rsidP="00A128B3">
            <w:pPr>
              <w:rPr>
                <w:rFonts w:cs="Arial"/>
                <w:sz w:val="20"/>
                <w:szCs w:val="20"/>
              </w:rPr>
            </w:pPr>
            <w:r w:rsidRPr="00A128B3">
              <w:rPr>
                <w:rFonts w:cs="Arial"/>
                <w:sz w:val="20"/>
                <w:szCs w:val="20"/>
              </w:rPr>
              <w:t>min</w:t>
            </w:r>
          </w:p>
        </w:tc>
        <w:tc>
          <w:tcPr>
            <w:tcW w:w="2116" w:type="dxa"/>
          </w:tcPr>
          <w:p w:rsidR="00484A55" w:rsidRPr="00A128B3" w:rsidRDefault="00484A55" w:rsidP="00A128B3">
            <w:pPr>
              <w:rPr>
                <w:rFonts w:cs="Arial"/>
                <w:sz w:val="20"/>
                <w:szCs w:val="20"/>
              </w:rPr>
            </w:pPr>
            <w:r w:rsidRPr="00A128B3">
              <w:rPr>
                <w:rFonts w:cs="Arial"/>
                <w:sz w:val="20"/>
                <w:szCs w:val="20"/>
              </w:rPr>
              <w:t>Minute</w:t>
            </w:r>
          </w:p>
        </w:tc>
        <w:tc>
          <w:tcPr>
            <w:tcW w:w="2169" w:type="dxa"/>
          </w:tcPr>
          <w:p w:rsidR="00484A55" w:rsidRPr="00A128B3" w:rsidRDefault="00484A55" w:rsidP="00A128B3">
            <w:pPr>
              <w:rPr>
                <w:rFonts w:cs="Arial"/>
                <w:sz w:val="20"/>
                <w:szCs w:val="20"/>
              </w:rPr>
            </w:pPr>
            <w:r>
              <w:rPr>
                <w:rFonts w:cs="Arial"/>
                <w:sz w:val="20"/>
                <w:szCs w:val="20"/>
              </w:rPr>
              <w:t>n</w:t>
            </w:r>
            <w:r w:rsidRPr="00A128B3">
              <w:rPr>
                <w:rFonts w:cs="Arial"/>
                <w:sz w:val="20"/>
                <w:szCs w:val="20"/>
              </w:rPr>
              <w:t>g</w:t>
            </w:r>
          </w:p>
        </w:tc>
        <w:tc>
          <w:tcPr>
            <w:tcW w:w="2885" w:type="dxa"/>
          </w:tcPr>
          <w:p w:rsidR="00484A55" w:rsidRPr="00A128B3" w:rsidRDefault="00484A55" w:rsidP="00A128B3">
            <w:pPr>
              <w:rPr>
                <w:rFonts w:cs="Arial"/>
                <w:sz w:val="20"/>
                <w:szCs w:val="20"/>
              </w:rPr>
            </w:pPr>
            <w:r w:rsidRPr="00A128B3">
              <w:rPr>
                <w:rFonts w:cs="Arial"/>
                <w:sz w:val="20"/>
                <w:szCs w:val="20"/>
              </w:rPr>
              <w:t>Nanogram</w:t>
            </w:r>
          </w:p>
        </w:tc>
      </w:tr>
      <w:tr w:rsidR="00484A55" w:rsidRPr="00A128B3" w:rsidTr="00484A55">
        <w:tc>
          <w:tcPr>
            <w:tcW w:w="1964" w:type="dxa"/>
          </w:tcPr>
          <w:p w:rsidR="00484A55" w:rsidRPr="00A128B3" w:rsidRDefault="00484A55" w:rsidP="00A128B3">
            <w:pPr>
              <w:rPr>
                <w:rFonts w:cs="Arial"/>
                <w:sz w:val="20"/>
                <w:szCs w:val="20"/>
              </w:rPr>
            </w:pPr>
            <w:r>
              <w:rPr>
                <w:rFonts w:cs="Arial"/>
                <w:sz w:val="20"/>
                <w:szCs w:val="20"/>
              </w:rPr>
              <w:t>h</w:t>
            </w:r>
          </w:p>
        </w:tc>
        <w:tc>
          <w:tcPr>
            <w:tcW w:w="2116" w:type="dxa"/>
          </w:tcPr>
          <w:p w:rsidR="00484A55" w:rsidRPr="00A128B3" w:rsidRDefault="00484A55" w:rsidP="00A128B3">
            <w:pPr>
              <w:rPr>
                <w:rFonts w:cs="Arial"/>
                <w:sz w:val="20"/>
                <w:szCs w:val="20"/>
              </w:rPr>
            </w:pPr>
            <w:r>
              <w:rPr>
                <w:rFonts w:cs="Arial"/>
                <w:sz w:val="20"/>
                <w:szCs w:val="20"/>
              </w:rPr>
              <w:t>Hour</w:t>
            </w:r>
          </w:p>
        </w:tc>
        <w:tc>
          <w:tcPr>
            <w:tcW w:w="2169" w:type="dxa"/>
          </w:tcPr>
          <w:p w:rsidR="00484A55" w:rsidRPr="00A128B3" w:rsidRDefault="00484A55" w:rsidP="00A128B3">
            <w:pPr>
              <w:rPr>
                <w:rFonts w:cs="Arial"/>
                <w:sz w:val="20"/>
                <w:szCs w:val="20"/>
              </w:rPr>
            </w:pPr>
            <w:r w:rsidRPr="00A128B3">
              <w:rPr>
                <w:rFonts w:cs="Arial"/>
                <w:sz w:val="20"/>
                <w:szCs w:val="20"/>
              </w:rPr>
              <w:t>µg</w:t>
            </w:r>
          </w:p>
        </w:tc>
        <w:tc>
          <w:tcPr>
            <w:tcW w:w="2885" w:type="dxa"/>
          </w:tcPr>
          <w:p w:rsidR="00484A55" w:rsidRPr="00A128B3" w:rsidRDefault="00484A55" w:rsidP="00A128B3">
            <w:pPr>
              <w:rPr>
                <w:rFonts w:cs="Arial"/>
                <w:sz w:val="20"/>
                <w:szCs w:val="20"/>
              </w:rPr>
            </w:pPr>
            <w:r w:rsidRPr="00A128B3">
              <w:rPr>
                <w:rFonts w:cs="Arial"/>
                <w:sz w:val="20"/>
                <w:szCs w:val="20"/>
              </w:rPr>
              <w:t>Microgram</w:t>
            </w:r>
          </w:p>
        </w:tc>
      </w:tr>
      <w:tr w:rsidR="00484A55" w:rsidRPr="00A128B3" w:rsidTr="00484A55">
        <w:tc>
          <w:tcPr>
            <w:tcW w:w="1964" w:type="dxa"/>
          </w:tcPr>
          <w:p w:rsidR="00484A55" w:rsidRDefault="00484A55" w:rsidP="00A128B3">
            <w:pPr>
              <w:rPr>
                <w:rFonts w:cs="Arial"/>
                <w:sz w:val="20"/>
                <w:szCs w:val="20"/>
              </w:rPr>
            </w:pPr>
            <w:r>
              <w:rPr>
                <w:rFonts w:cs="Arial"/>
                <w:sz w:val="20"/>
                <w:szCs w:val="20"/>
              </w:rPr>
              <w:t>d</w:t>
            </w:r>
          </w:p>
        </w:tc>
        <w:tc>
          <w:tcPr>
            <w:tcW w:w="2116" w:type="dxa"/>
          </w:tcPr>
          <w:p w:rsidR="00484A55" w:rsidRDefault="00484A55" w:rsidP="00A128B3">
            <w:pPr>
              <w:rPr>
                <w:rFonts w:cs="Arial"/>
                <w:sz w:val="20"/>
                <w:szCs w:val="20"/>
              </w:rPr>
            </w:pPr>
            <w:r>
              <w:rPr>
                <w:rFonts w:cs="Arial"/>
                <w:sz w:val="20"/>
                <w:szCs w:val="20"/>
              </w:rPr>
              <w:t>Day</w:t>
            </w:r>
          </w:p>
        </w:tc>
        <w:tc>
          <w:tcPr>
            <w:tcW w:w="2169" w:type="dxa"/>
          </w:tcPr>
          <w:p w:rsidR="00484A55" w:rsidRPr="00A128B3" w:rsidRDefault="00484A55" w:rsidP="00A128B3">
            <w:pPr>
              <w:rPr>
                <w:rFonts w:cs="Arial"/>
                <w:sz w:val="20"/>
                <w:szCs w:val="20"/>
              </w:rPr>
            </w:pPr>
            <w:r w:rsidRPr="00A128B3">
              <w:rPr>
                <w:rFonts w:cs="Arial"/>
                <w:sz w:val="20"/>
                <w:szCs w:val="20"/>
              </w:rPr>
              <w:t>mg</w:t>
            </w:r>
          </w:p>
        </w:tc>
        <w:tc>
          <w:tcPr>
            <w:tcW w:w="2885" w:type="dxa"/>
          </w:tcPr>
          <w:p w:rsidR="00484A55" w:rsidRPr="00A128B3" w:rsidRDefault="00484A55" w:rsidP="00A128B3">
            <w:pPr>
              <w:rPr>
                <w:rFonts w:cs="Arial"/>
                <w:sz w:val="20"/>
                <w:szCs w:val="20"/>
              </w:rPr>
            </w:pPr>
            <w:r w:rsidRPr="00A128B3">
              <w:rPr>
                <w:rFonts w:cs="Arial"/>
                <w:sz w:val="20"/>
                <w:szCs w:val="20"/>
              </w:rPr>
              <w:t>Milligram</w:t>
            </w:r>
          </w:p>
        </w:tc>
      </w:tr>
      <w:tr w:rsidR="00484A55" w:rsidRPr="00A128B3" w:rsidTr="00484A55">
        <w:tc>
          <w:tcPr>
            <w:tcW w:w="1964" w:type="dxa"/>
          </w:tcPr>
          <w:p w:rsidR="00484A55" w:rsidRPr="00A128B3" w:rsidRDefault="00484A55" w:rsidP="00A128B3">
            <w:pPr>
              <w:rPr>
                <w:rFonts w:cs="Arial"/>
                <w:sz w:val="20"/>
                <w:szCs w:val="20"/>
              </w:rPr>
            </w:pPr>
            <w:r w:rsidRPr="00A128B3">
              <w:rPr>
                <w:rFonts w:cs="Arial"/>
                <w:sz w:val="20"/>
                <w:szCs w:val="20"/>
              </w:rPr>
              <w:t>wk</w:t>
            </w:r>
          </w:p>
        </w:tc>
        <w:tc>
          <w:tcPr>
            <w:tcW w:w="2116" w:type="dxa"/>
          </w:tcPr>
          <w:p w:rsidR="00484A55" w:rsidRPr="00A128B3" w:rsidRDefault="00484A55" w:rsidP="00A128B3">
            <w:pPr>
              <w:rPr>
                <w:rFonts w:cs="Arial"/>
                <w:sz w:val="20"/>
                <w:szCs w:val="20"/>
              </w:rPr>
            </w:pPr>
            <w:r w:rsidRPr="00A128B3">
              <w:rPr>
                <w:rFonts w:cs="Arial"/>
                <w:sz w:val="20"/>
                <w:szCs w:val="20"/>
              </w:rPr>
              <w:t>Week</w:t>
            </w:r>
          </w:p>
        </w:tc>
        <w:tc>
          <w:tcPr>
            <w:tcW w:w="2169" w:type="dxa"/>
          </w:tcPr>
          <w:p w:rsidR="00484A55" w:rsidRPr="00A128B3" w:rsidRDefault="00484A55" w:rsidP="00A128B3">
            <w:pPr>
              <w:rPr>
                <w:rFonts w:cs="Arial"/>
                <w:sz w:val="20"/>
                <w:szCs w:val="20"/>
              </w:rPr>
            </w:pPr>
            <w:r w:rsidRPr="00A128B3">
              <w:rPr>
                <w:rFonts w:cs="Arial"/>
                <w:sz w:val="20"/>
                <w:szCs w:val="20"/>
              </w:rPr>
              <w:t>kg</w:t>
            </w:r>
          </w:p>
        </w:tc>
        <w:tc>
          <w:tcPr>
            <w:tcW w:w="2885" w:type="dxa"/>
          </w:tcPr>
          <w:p w:rsidR="00484A55" w:rsidRPr="00A128B3" w:rsidRDefault="00484A55" w:rsidP="00A128B3">
            <w:pPr>
              <w:rPr>
                <w:rFonts w:cs="Arial"/>
                <w:sz w:val="20"/>
                <w:szCs w:val="20"/>
              </w:rPr>
            </w:pPr>
            <w:r w:rsidRPr="00A128B3">
              <w:rPr>
                <w:rFonts w:cs="Arial"/>
                <w:sz w:val="20"/>
                <w:szCs w:val="20"/>
              </w:rPr>
              <w:t>Kilogram</w:t>
            </w:r>
          </w:p>
        </w:tc>
      </w:tr>
      <w:tr w:rsidR="00484A55" w:rsidRPr="00A128B3" w:rsidTr="00484A55">
        <w:tc>
          <w:tcPr>
            <w:tcW w:w="1964" w:type="dxa"/>
          </w:tcPr>
          <w:p w:rsidR="00484A55" w:rsidRPr="00A128B3" w:rsidRDefault="00484A55" w:rsidP="00A128B3">
            <w:pPr>
              <w:rPr>
                <w:rFonts w:cs="Arial"/>
                <w:sz w:val="20"/>
                <w:szCs w:val="20"/>
              </w:rPr>
            </w:pPr>
            <w:r w:rsidRPr="00A128B3">
              <w:rPr>
                <w:rFonts w:cs="Arial"/>
                <w:sz w:val="20"/>
                <w:szCs w:val="20"/>
              </w:rPr>
              <w:t>mo</w:t>
            </w:r>
          </w:p>
        </w:tc>
        <w:tc>
          <w:tcPr>
            <w:tcW w:w="2116" w:type="dxa"/>
          </w:tcPr>
          <w:p w:rsidR="00484A55" w:rsidRPr="00A128B3" w:rsidRDefault="00484A55" w:rsidP="00A128B3">
            <w:pPr>
              <w:rPr>
                <w:rFonts w:cs="Arial"/>
                <w:sz w:val="20"/>
                <w:szCs w:val="20"/>
              </w:rPr>
            </w:pPr>
            <w:r w:rsidRPr="00A128B3">
              <w:rPr>
                <w:rFonts w:cs="Arial"/>
                <w:sz w:val="20"/>
                <w:szCs w:val="20"/>
              </w:rPr>
              <w:t>Month</w:t>
            </w:r>
          </w:p>
        </w:tc>
        <w:tc>
          <w:tcPr>
            <w:tcW w:w="2169" w:type="dxa"/>
          </w:tcPr>
          <w:p w:rsidR="00484A55" w:rsidRPr="00A128B3" w:rsidRDefault="00484A55" w:rsidP="00A128B3">
            <w:pPr>
              <w:rPr>
                <w:rFonts w:cs="Arial"/>
                <w:sz w:val="20"/>
                <w:szCs w:val="20"/>
              </w:rPr>
            </w:pPr>
          </w:p>
        </w:tc>
        <w:tc>
          <w:tcPr>
            <w:tcW w:w="2885" w:type="dxa"/>
          </w:tcPr>
          <w:p w:rsidR="00484A55" w:rsidRPr="00A128B3" w:rsidRDefault="00484A55" w:rsidP="00A128B3">
            <w:pPr>
              <w:rPr>
                <w:rFonts w:cs="Arial"/>
                <w:sz w:val="20"/>
                <w:szCs w:val="20"/>
              </w:rPr>
            </w:pPr>
          </w:p>
        </w:tc>
      </w:tr>
      <w:tr w:rsidR="00484A55" w:rsidRPr="00A128B3" w:rsidTr="00484A55">
        <w:tc>
          <w:tcPr>
            <w:tcW w:w="1964" w:type="dxa"/>
          </w:tcPr>
          <w:p w:rsidR="00484A55" w:rsidRPr="00A128B3" w:rsidRDefault="00484A55" w:rsidP="00A128B3">
            <w:pPr>
              <w:rPr>
                <w:rFonts w:cs="Arial"/>
                <w:sz w:val="20"/>
                <w:szCs w:val="20"/>
              </w:rPr>
            </w:pPr>
            <w:r>
              <w:rPr>
                <w:rFonts w:cs="Arial"/>
                <w:sz w:val="20"/>
                <w:szCs w:val="20"/>
              </w:rPr>
              <w:t>y</w:t>
            </w:r>
          </w:p>
        </w:tc>
        <w:tc>
          <w:tcPr>
            <w:tcW w:w="2116" w:type="dxa"/>
          </w:tcPr>
          <w:p w:rsidR="00484A55" w:rsidRPr="00A128B3" w:rsidRDefault="00484A55" w:rsidP="00A128B3">
            <w:pPr>
              <w:rPr>
                <w:rFonts w:cs="Arial"/>
                <w:sz w:val="20"/>
                <w:szCs w:val="20"/>
              </w:rPr>
            </w:pPr>
            <w:r w:rsidRPr="00A128B3">
              <w:rPr>
                <w:rFonts w:cs="Arial"/>
                <w:sz w:val="20"/>
                <w:szCs w:val="20"/>
              </w:rPr>
              <w:t>Year</w:t>
            </w:r>
          </w:p>
        </w:tc>
        <w:tc>
          <w:tcPr>
            <w:tcW w:w="2169" w:type="dxa"/>
          </w:tcPr>
          <w:p w:rsidR="00484A55" w:rsidRPr="00A128B3" w:rsidRDefault="00484A55" w:rsidP="00A128B3">
            <w:pPr>
              <w:rPr>
                <w:rFonts w:cs="Arial"/>
                <w:sz w:val="20"/>
                <w:szCs w:val="20"/>
              </w:rPr>
            </w:pPr>
          </w:p>
        </w:tc>
        <w:tc>
          <w:tcPr>
            <w:tcW w:w="2885" w:type="dxa"/>
          </w:tcPr>
          <w:p w:rsidR="00484A55" w:rsidRPr="00A128B3" w:rsidRDefault="00484A55" w:rsidP="00A128B3">
            <w:pPr>
              <w:rPr>
                <w:rFonts w:cs="Arial"/>
                <w:sz w:val="20"/>
                <w:szCs w:val="20"/>
              </w:rPr>
            </w:pPr>
          </w:p>
        </w:tc>
      </w:tr>
      <w:tr w:rsidR="00484A55" w:rsidRPr="00A128B3" w:rsidTr="00484A55">
        <w:tc>
          <w:tcPr>
            <w:tcW w:w="1964" w:type="dxa"/>
          </w:tcPr>
          <w:p w:rsidR="00484A55" w:rsidRPr="00A128B3" w:rsidRDefault="00484A55" w:rsidP="00A128B3">
            <w:pPr>
              <w:rPr>
                <w:rFonts w:cs="Arial"/>
                <w:sz w:val="20"/>
                <w:szCs w:val="20"/>
              </w:rPr>
            </w:pPr>
          </w:p>
        </w:tc>
        <w:tc>
          <w:tcPr>
            <w:tcW w:w="2116" w:type="dxa"/>
          </w:tcPr>
          <w:p w:rsidR="00484A55" w:rsidRPr="00A128B3" w:rsidRDefault="00484A55" w:rsidP="00A128B3">
            <w:pPr>
              <w:rPr>
                <w:rFonts w:cs="Arial"/>
                <w:sz w:val="20"/>
                <w:szCs w:val="20"/>
              </w:rPr>
            </w:pPr>
          </w:p>
        </w:tc>
        <w:tc>
          <w:tcPr>
            <w:tcW w:w="2169" w:type="dxa"/>
          </w:tcPr>
          <w:p w:rsidR="00484A55" w:rsidRPr="00A128B3" w:rsidRDefault="00484A55" w:rsidP="00A128B3">
            <w:pPr>
              <w:rPr>
                <w:rFonts w:cs="Arial"/>
                <w:sz w:val="20"/>
                <w:szCs w:val="20"/>
              </w:rPr>
            </w:pPr>
            <w:r w:rsidRPr="00A128B3">
              <w:rPr>
                <w:rFonts w:cs="Arial"/>
                <w:b/>
                <w:sz w:val="20"/>
                <w:szCs w:val="20"/>
                <w:u w:val="single"/>
              </w:rPr>
              <w:t>Dosing</w:t>
            </w:r>
          </w:p>
        </w:tc>
        <w:tc>
          <w:tcPr>
            <w:tcW w:w="2885" w:type="dxa"/>
          </w:tcPr>
          <w:p w:rsidR="00484A55" w:rsidRPr="00A128B3" w:rsidRDefault="00484A55" w:rsidP="00A128B3">
            <w:pPr>
              <w:rPr>
                <w:rFonts w:cs="Arial"/>
                <w:sz w:val="20"/>
                <w:szCs w:val="20"/>
              </w:rPr>
            </w:pPr>
          </w:p>
        </w:tc>
      </w:tr>
      <w:tr w:rsidR="00484A55" w:rsidRPr="00A128B3" w:rsidTr="00FB6589">
        <w:tc>
          <w:tcPr>
            <w:tcW w:w="1964" w:type="dxa"/>
          </w:tcPr>
          <w:p w:rsidR="00484A55" w:rsidRPr="00A128B3" w:rsidRDefault="00484A55" w:rsidP="00A128B3">
            <w:pPr>
              <w:rPr>
                <w:rFonts w:cs="Arial"/>
                <w:sz w:val="20"/>
                <w:szCs w:val="20"/>
              </w:rPr>
            </w:pPr>
            <w:r w:rsidRPr="00A128B3">
              <w:rPr>
                <w:rFonts w:cs="Arial"/>
                <w:b/>
                <w:sz w:val="20"/>
                <w:szCs w:val="20"/>
                <w:u w:val="single"/>
              </w:rPr>
              <w:t>Length</w:t>
            </w:r>
          </w:p>
        </w:tc>
        <w:tc>
          <w:tcPr>
            <w:tcW w:w="2116" w:type="dxa"/>
          </w:tcPr>
          <w:p w:rsidR="00484A55" w:rsidRPr="00A128B3" w:rsidRDefault="00484A55" w:rsidP="00A128B3">
            <w:pPr>
              <w:rPr>
                <w:rFonts w:cs="Arial"/>
                <w:sz w:val="20"/>
                <w:szCs w:val="20"/>
              </w:rPr>
            </w:pPr>
          </w:p>
        </w:tc>
        <w:tc>
          <w:tcPr>
            <w:tcW w:w="2169" w:type="dxa"/>
          </w:tcPr>
          <w:p w:rsidR="00484A55" w:rsidRPr="00A128B3" w:rsidRDefault="00484A55" w:rsidP="00A128B3">
            <w:pPr>
              <w:rPr>
                <w:rFonts w:cs="Arial"/>
                <w:sz w:val="20"/>
                <w:szCs w:val="20"/>
              </w:rPr>
            </w:pPr>
            <w:r>
              <w:rPr>
                <w:rFonts w:cs="Arial"/>
                <w:sz w:val="20"/>
                <w:szCs w:val="20"/>
              </w:rPr>
              <w:t>IP</w:t>
            </w:r>
          </w:p>
        </w:tc>
        <w:tc>
          <w:tcPr>
            <w:tcW w:w="2885" w:type="dxa"/>
          </w:tcPr>
          <w:p w:rsidR="00484A55" w:rsidRPr="00A128B3" w:rsidRDefault="00484A55" w:rsidP="00A128B3">
            <w:pPr>
              <w:rPr>
                <w:rFonts w:cs="Arial"/>
                <w:sz w:val="20"/>
                <w:szCs w:val="20"/>
              </w:rPr>
            </w:pPr>
            <w:r>
              <w:rPr>
                <w:rFonts w:cs="Arial"/>
                <w:sz w:val="20"/>
                <w:szCs w:val="20"/>
              </w:rPr>
              <w:t>Intraperitoneal</w:t>
            </w:r>
          </w:p>
        </w:tc>
      </w:tr>
      <w:tr w:rsidR="00484A55" w:rsidRPr="00A128B3" w:rsidTr="00484A55">
        <w:tc>
          <w:tcPr>
            <w:tcW w:w="1964" w:type="dxa"/>
          </w:tcPr>
          <w:p w:rsidR="00484A55" w:rsidRPr="00A128B3" w:rsidRDefault="00484A55" w:rsidP="00A128B3">
            <w:pPr>
              <w:rPr>
                <w:rFonts w:cs="Arial"/>
                <w:sz w:val="20"/>
                <w:szCs w:val="20"/>
              </w:rPr>
            </w:pPr>
            <w:r w:rsidRPr="00A128B3">
              <w:rPr>
                <w:rFonts w:cs="Arial"/>
                <w:sz w:val="20"/>
                <w:szCs w:val="20"/>
              </w:rPr>
              <w:t>cm</w:t>
            </w:r>
          </w:p>
        </w:tc>
        <w:tc>
          <w:tcPr>
            <w:tcW w:w="2116" w:type="dxa"/>
          </w:tcPr>
          <w:p w:rsidR="00484A55" w:rsidRPr="00A128B3" w:rsidRDefault="00484A55" w:rsidP="00A128B3">
            <w:pPr>
              <w:rPr>
                <w:rFonts w:cs="Arial"/>
                <w:sz w:val="20"/>
                <w:szCs w:val="20"/>
              </w:rPr>
            </w:pPr>
            <w:r w:rsidRPr="00A128B3">
              <w:rPr>
                <w:rFonts w:cs="Arial"/>
                <w:sz w:val="20"/>
                <w:szCs w:val="20"/>
              </w:rPr>
              <w:t>Centimetre</w:t>
            </w:r>
          </w:p>
        </w:tc>
        <w:tc>
          <w:tcPr>
            <w:tcW w:w="2169" w:type="dxa"/>
          </w:tcPr>
          <w:p w:rsidR="00484A55" w:rsidRPr="00A128B3" w:rsidRDefault="00484A55" w:rsidP="00A128B3">
            <w:pPr>
              <w:rPr>
                <w:rFonts w:cs="Arial"/>
                <w:sz w:val="20"/>
                <w:szCs w:val="20"/>
              </w:rPr>
            </w:pPr>
            <w:r>
              <w:rPr>
                <w:rFonts w:cs="Arial"/>
                <w:sz w:val="20"/>
                <w:szCs w:val="20"/>
              </w:rPr>
              <w:t>IV</w:t>
            </w:r>
          </w:p>
        </w:tc>
        <w:tc>
          <w:tcPr>
            <w:tcW w:w="2885" w:type="dxa"/>
          </w:tcPr>
          <w:p w:rsidR="00484A55" w:rsidRPr="00A128B3" w:rsidRDefault="00484A55">
            <w:pPr>
              <w:rPr>
                <w:rFonts w:cs="Arial"/>
                <w:sz w:val="20"/>
                <w:szCs w:val="20"/>
              </w:rPr>
            </w:pPr>
            <w:r w:rsidRPr="00A128B3">
              <w:rPr>
                <w:rFonts w:cs="Arial"/>
                <w:sz w:val="20"/>
                <w:szCs w:val="20"/>
              </w:rPr>
              <w:t>Intravenous</w:t>
            </w:r>
          </w:p>
        </w:tc>
      </w:tr>
      <w:tr w:rsidR="00484A55" w:rsidRPr="00A128B3" w:rsidTr="00484A55">
        <w:tc>
          <w:tcPr>
            <w:tcW w:w="1964" w:type="dxa"/>
          </w:tcPr>
          <w:p w:rsidR="00484A55" w:rsidRPr="00A128B3" w:rsidRDefault="00484A55" w:rsidP="00A128B3">
            <w:pPr>
              <w:rPr>
                <w:rFonts w:cs="Arial"/>
                <w:sz w:val="20"/>
                <w:szCs w:val="20"/>
              </w:rPr>
            </w:pPr>
          </w:p>
        </w:tc>
        <w:tc>
          <w:tcPr>
            <w:tcW w:w="2116" w:type="dxa"/>
          </w:tcPr>
          <w:p w:rsidR="00484A55" w:rsidRPr="00A128B3" w:rsidRDefault="00484A55" w:rsidP="00A128B3">
            <w:pPr>
              <w:rPr>
                <w:rFonts w:cs="Arial"/>
                <w:sz w:val="20"/>
                <w:szCs w:val="20"/>
              </w:rPr>
            </w:pPr>
          </w:p>
        </w:tc>
        <w:tc>
          <w:tcPr>
            <w:tcW w:w="2169" w:type="dxa"/>
          </w:tcPr>
          <w:p w:rsidR="00484A55" w:rsidRDefault="00484A55" w:rsidP="00A128B3">
            <w:pPr>
              <w:rPr>
                <w:rFonts w:cs="Arial"/>
                <w:sz w:val="20"/>
                <w:szCs w:val="20"/>
              </w:rPr>
            </w:pPr>
            <w:r>
              <w:rPr>
                <w:rFonts w:cs="Arial"/>
                <w:sz w:val="20"/>
                <w:szCs w:val="20"/>
              </w:rPr>
              <w:t>SC</w:t>
            </w:r>
          </w:p>
        </w:tc>
        <w:tc>
          <w:tcPr>
            <w:tcW w:w="2885" w:type="dxa"/>
          </w:tcPr>
          <w:p w:rsidR="00484A55" w:rsidRDefault="00484A55" w:rsidP="00A128B3">
            <w:pPr>
              <w:rPr>
                <w:rFonts w:cs="Arial"/>
                <w:sz w:val="20"/>
                <w:szCs w:val="20"/>
              </w:rPr>
            </w:pPr>
            <w:r>
              <w:rPr>
                <w:rFonts w:cs="Arial"/>
                <w:sz w:val="20"/>
                <w:szCs w:val="20"/>
              </w:rPr>
              <w:t>Subcutaneous</w:t>
            </w:r>
          </w:p>
        </w:tc>
      </w:tr>
      <w:tr w:rsidR="00484A55" w:rsidRPr="00A128B3" w:rsidTr="00484A55">
        <w:tc>
          <w:tcPr>
            <w:tcW w:w="1964" w:type="dxa"/>
          </w:tcPr>
          <w:p w:rsidR="00484A55" w:rsidRPr="00A128B3" w:rsidRDefault="00484A55" w:rsidP="00A128B3">
            <w:pPr>
              <w:rPr>
                <w:rFonts w:cs="Arial"/>
                <w:sz w:val="20"/>
                <w:szCs w:val="20"/>
              </w:rPr>
            </w:pPr>
            <w:r w:rsidRPr="00A128B3">
              <w:rPr>
                <w:rFonts w:cs="Arial"/>
                <w:b/>
                <w:sz w:val="20"/>
                <w:szCs w:val="20"/>
                <w:u w:val="single"/>
              </w:rPr>
              <w:t>Volume</w:t>
            </w:r>
            <w:r w:rsidRPr="00A128B3" w:rsidDel="004047D3">
              <w:rPr>
                <w:rFonts w:cs="Arial"/>
                <w:sz w:val="20"/>
                <w:szCs w:val="20"/>
              </w:rPr>
              <w:t xml:space="preserve"> </w:t>
            </w:r>
          </w:p>
        </w:tc>
        <w:tc>
          <w:tcPr>
            <w:tcW w:w="2116" w:type="dxa"/>
          </w:tcPr>
          <w:p w:rsidR="00484A55" w:rsidRPr="00A128B3" w:rsidRDefault="00484A55" w:rsidP="00A128B3">
            <w:pPr>
              <w:rPr>
                <w:rFonts w:cs="Arial"/>
                <w:sz w:val="20"/>
                <w:szCs w:val="20"/>
              </w:rPr>
            </w:pPr>
          </w:p>
        </w:tc>
        <w:tc>
          <w:tcPr>
            <w:tcW w:w="2169" w:type="dxa"/>
          </w:tcPr>
          <w:p w:rsidR="00484A55" w:rsidRPr="00A128B3" w:rsidRDefault="00484A55" w:rsidP="00A128B3">
            <w:pPr>
              <w:rPr>
                <w:rFonts w:cs="Arial"/>
                <w:sz w:val="20"/>
                <w:szCs w:val="20"/>
              </w:rPr>
            </w:pPr>
            <w:r w:rsidRPr="00A128B3">
              <w:rPr>
                <w:rFonts w:cs="Arial"/>
                <w:sz w:val="20"/>
                <w:szCs w:val="20"/>
              </w:rPr>
              <w:t>mg/kg bw/day</w:t>
            </w:r>
          </w:p>
        </w:tc>
        <w:tc>
          <w:tcPr>
            <w:tcW w:w="2885" w:type="dxa"/>
          </w:tcPr>
          <w:p w:rsidR="00484A55" w:rsidRPr="00A128B3" w:rsidRDefault="00484A55" w:rsidP="00A128B3">
            <w:pPr>
              <w:rPr>
                <w:rFonts w:cs="Arial"/>
                <w:sz w:val="20"/>
                <w:szCs w:val="20"/>
              </w:rPr>
            </w:pPr>
            <w:r w:rsidRPr="00A128B3">
              <w:rPr>
                <w:rFonts w:cs="Arial"/>
                <w:sz w:val="20"/>
                <w:szCs w:val="20"/>
              </w:rPr>
              <w:t>mg/kg bodyweight/day</w:t>
            </w:r>
          </w:p>
        </w:tc>
      </w:tr>
      <w:tr w:rsidR="00484A55" w:rsidRPr="00A128B3" w:rsidTr="00484A55">
        <w:tc>
          <w:tcPr>
            <w:tcW w:w="1964" w:type="dxa"/>
          </w:tcPr>
          <w:p w:rsidR="00484A55" w:rsidRPr="00A128B3" w:rsidRDefault="00484A55" w:rsidP="00A128B3">
            <w:pPr>
              <w:rPr>
                <w:rFonts w:cs="Arial"/>
                <w:sz w:val="20"/>
                <w:szCs w:val="20"/>
              </w:rPr>
            </w:pPr>
            <w:r w:rsidRPr="00A128B3">
              <w:rPr>
                <w:rFonts w:cs="Arial"/>
                <w:sz w:val="20"/>
                <w:szCs w:val="20"/>
              </w:rPr>
              <w:t>µL</w:t>
            </w:r>
          </w:p>
        </w:tc>
        <w:tc>
          <w:tcPr>
            <w:tcW w:w="2116" w:type="dxa"/>
          </w:tcPr>
          <w:p w:rsidR="00484A55" w:rsidRPr="00A128B3" w:rsidRDefault="00484A55" w:rsidP="00A128B3">
            <w:pPr>
              <w:rPr>
                <w:rFonts w:cs="Arial"/>
                <w:sz w:val="20"/>
                <w:szCs w:val="20"/>
              </w:rPr>
            </w:pPr>
            <w:r w:rsidRPr="00A128B3">
              <w:rPr>
                <w:rFonts w:cs="Arial"/>
                <w:sz w:val="20"/>
                <w:szCs w:val="20"/>
              </w:rPr>
              <w:t>Microlitre</w:t>
            </w:r>
          </w:p>
        </w:tc>
        <w:tc>
          <w:tcPr>
            <w:tcW w:w="2169" w:type="dxa"/>
          </w:tcPr>
          <w:p w:rsidR="00484A55" w:rsidRPr="00A128B3" w:rsidRDefault="00484A55" w:rsidP="00A128B3">
            <w:pPr>
              <w:rPr>
                <w:rFonts w:cs="Arial"/>
                <w:sz w:val="20"/>
                <w:szCs w:val="20"/>
              </w:rPr>
            </w:pPr>
          </w:p>
        </w:tc>
        <w:tc>
          <w:tcPr>
            <w:tcW w:w="2885" w:type="dxa"/>
          </w:tcPr>
          <w:p w:rsidR="00484A55" w:rsidRPr="00A128B3" w:rsidRDefault="00484A55" w:rsidP="00A128B3">
            <w:pPr>
              <w:rPr>
                <w:rFonts w:cs="Arial"/>
                <w:sz w:val="20"/>
                <w:szCs w:val="20"/>
              </w:rPr>
            </w:pPr>
          </w:p>
        </w:tc>
      </w:tr>
      <w:tr w:rsidR="00484A55" w:rsidRPr="00A128B3" w:rsidTr="00484A55">
        <w:tc>
          <w:tcPr>
            <w:tcW w:w="1964" w:type="dxa"/>
          </w:tcPr>
          <w:p w:rsidR="00484A55" w:rsidRPr="00A128B3" w:rsidRDefault="00484A55" w:rsidP="00A128B3">
            <w:pPr>
              <w:rPr>
                <w:rFonts w:cs="Arial"/>
                <w:sz w:val="20"/>
                <w:szCs w:val="20"/>
              </w:rPr>
            </w:pPr>
            <w:r w:rsidRPr="00A128B3">
              <w:rPr>
                <w:rFonts w:cs="Arial"/>
                <w:sz w:val="20"/>
                <w:szCs w:val="20"/>
              </w:rPr>
              <w:t>mL</w:t>
            </w:r>
          </w:p>
        </w:tc>
        <w:tc>
          <w:tcPr>
            <w:tcW w:w="2116" w:type="dxa"/>
          </w:tcPr>
          <w:p w:rsidR="00484A55" w:rsidRPr="00A128B3" w:rsidRDefault="00484A55" w:rsidP="00A128B3">
            <w:pPr>
              <w:rPr>
                <w:rFonts w:cs="Arial"/>
                <w:sz w:val="20"/>
                <w:szCs w:val="20"/>
              </w:rPr>
            </w:pPr>
            <w:r w:rsidRPr="00A128B3">
              <w:rPr>
                <w:rFonts w:cs="Arial"/>
                <w:sz w:val="20"/>
                <w:szCs w:val="20"/>
              </w:rPr>
              <w:t>Millilitre</w:t>
            </w:r>
          </w:p>
        </w:tc>
        <w:tc>
          <w:tcPr>
            <w:tcW w:w="2169" w:type="dxa"/>
          </w:tcPr>
          <w:p w:rsidR="00484A55" w:rsidRPr="00A128B3" w:rsidRDefault="00484A55" w:rsidP="00A128B3">
            <w:pPr>
              <w:rPr>
                <w:rFonts w:cs="Arial"/>
                <w:sz w:val="20"/>
                <w:szCs w:val="20"/>
              </w:rPr>
            </w:pPr>
            <w:r w:rsidRPr="00A128B3">
              <w:rPr>
                <w:rFonts w:cs="Arial"/>
                <w:b/>
                <w:sz w:val="20"/>
                <w:szCs w:val="20"/>
                <w:u w:val="single"/>
              </w:rPr>
              <w:t>Concentration</w:t>
            </w:r>
          </w:p>
        </w:tc>
        <w:tc>
          <w:tcPr>
            <w:tcW w:w="2885" w:type="dxa"/>
          </w:tcPr>
          <w:p w:rsidR="00484A55" w:rsidRPr="00A128B3" w:rsidRDefault="00484A55" w:rsidP="00A128B3">
            <w:pPr>
              <w:rPr>
                <w:rFonts w:cs="Arial"/>
                <w:sz w:val="20"/>
                <w:szCs w:val="20"/>
              </w:rPr>
            </w:pPr>
          </w:p>
        </w:tc>
      </w:tr>
      <w:tr w:rsidR="00484A55" w:rsidRPr="00A128B3" w:rsidTr="00484A55">
        <w:tc>
          <w:tcPr>
            <w:tcW w:w="1964" w:type="dxa"/>
          </w:tcPr>
          <w:p w:rsidR="00484A55" w:rsidRPr="00A128B3" w:rsidRDefault="00484A55" w:rsidP="00A128B3">
            <w:pPr>
              <w:rPr>
                <w:rFonts w:cs="Arial"/>
                <w:sz w:val="20"/>
                <w:szCs w:val="20"/>
              </w:rPr>
            </w:pPr>
            <w:r w:rsidRPr="00A128B3">
              <w:rPr>
                <w:rFonts w:cs="Arial"/>
                <w:sz w:val="20"/>
                <w:szCs w:val="20"/>
              </w:rPr>
              <w:t>L</w:t>
            </w:r>
          </w:p>
        </w:tc>
        <w:tc>
          <w:tcPr>
            <w:tcW w:w="2116" w:type="dxa"/>
          </w:tcPr>
          <w:p w:rsidR="00484A55" w:rsidRPr="00A128B3" w:rsidRDefault="00484A55" w:rsidP="00A128B3">
            <w:pPr>
              <w:rPr>
                <w:rFonts w:cs="Arial"/>
                <w:sz w:val="20"/>
                <w:szCs w:val="20"/>
              </w:rPr>
            </w:pPr>
            <w:r w:rsidRPr="00A128B3">
              <w:rPr>
                <w:rFonts w:cs="Arial"/>
                <w:sz w:val="20"/>
                <w:szCs w:val="20"/>
              </w:rPr>
              <w:t>Litre</w:t>
            </w:r>
          </w:p>
        </w:tc>
        <w:tc>
          <w:tcPr>
            <w:tcW w:w="2169" w:type="dxa"/>
          </w:tcPr>
          <w:p w:rsidR="00484A55" w:rsidRPr="00A128B3" w:rsidRDefault="00484A55" w:rsidP="00A128B3">
            <w:pPr>
              <w:rPr>
                <w:rFonts w:cs="Arial"/>
                <w:sz w:val="20"/>
                <w:szCs w:val="20"/>
              </w:rPr>
            </w:pPr>
            <w:r w:rsidRPr="00A128B3">
              <w:rPr>
                <w:rFonts w:cs="Arial"/>
                <w:sz w:val="20"/>
                <w:szCs w:val="20"/>
              </w:rPr>
              <w:t>M</w:t>
            </w:r>
          </w:p>
        </w:tc>
        <w:tc>
          <w:tcPr>
            <w:tcW w:w="2885" w:type="dxa"/>
          </w:tcPr>
          <w:p w:rsidR="00484A55" w:rsidRPr="00A128B3" w:rsidRDefault="00484A55" w:rsidP="00A128B3">
            <w:pPr>
              <w:rPr>
                <w:rFonts w:cs="Arial"/>
                <w:sz w:val="20"/>
                <w:szCs w:val="20"/>
              </w:rPr>
            </w:pPr>
            <w:r w:rsidRPr="00A128B3">
              <w:rPr>
                <w:rFonts w:cs="Arial"/>
                <w:sz w:val="20"/>
                <w:szCs w:val="20"/>
              </w:rPr>
              <w:t>Molar</w:t>
            </w:r>
          </w:p>
        </w:tc>
      </w:tr>
      <w:tr w:rsidR="00484A55" w:rsidRPr="00A128B3" w:rsidTr="00FB6589">
        <w:tc>
          <w:tcPr>
            <w:tcW w:w="1964" w:type="dxa"/>
          </w:tcPr>
          <w:p w:rsidR="00484A55" w:rsidRPr="00A128B3" w:rsidRDefault="00484A55" w:rsidP="00A128B3">
            <w:pPr>
              <w:rPr>
                <w:rFonts w:cs="Arial"/>
                <w:sz w:val="20"/>
                <w:szCs w:val="20"/>
              </w:rPr>
            </w:pPr>
          </w:p>
        </w:tc>
        <w:tc>
          <w:tcPr>
            <w:tcW w:w="2116" w:type="dxa"/>
          </w:tcPr>
          <w:p w:rsidR="00484A55" w:rsidRPr="00A128B3" w:rsidRDefault="00484A55" w:rsidP="00A128B3">
            <w:pPr>
              <w:rPr>
                <w:rFonts w:cs="Arial"/>
                <w:sz w:val="20"/>
                <w:szCs w:val="20"/>
              </w:rPr>
            </w:pPr>
          </w:p>
        </w:tc>
        <w:tc>
          <w:tcPr>
            <w:tcW w:w="2169" w:type="dxa"/>
          </w:tcPr>
          <w:p w:rsidR="00484A55" w:rsidRPr="00A128B3" w:rsidRDefault="00484A55" w:rsidP="00A128B3">
            <w:pPr>
              <w:rPr>
                <w:rFonts w:cs="Arial"/>
                <w:sz w:val="20"/>
                <w:szCs w:val="20"/>
              </w:rPr>
            </w:pPr>
            <w:r w:rsidRPr="00A128B3">
              <w:rPr>
                <w:rFonts w:cs="Arial"/>
                <w:sz w:val="20"/>
                <w:szCs w:val="20"/>
              </w:rPr>
              <w:t>w/w</w:t>
            </w:r>
          </w:p>
        </w:tc>
        <w:tc>
          <w:tcPr>
            <w:tcW w:w="2885" w:type="dxa"/>
          </w:tcPr>
          <w:p w:rsidR="00484A55" w:rsidRPr="00A128B3" w:rsidRDefault="00484A55" w:rsidP="00A128B3">
            <w:pPr>
              <w:rPr>
                <w:rFonts w:cs="Arial"/>
                <w:sz w:val="20"/>
                <w:szCs w:val="20"/>
              </w:rPr>
            </w:pPr>
            <w:r w:rsidRPr="00A128B3">
              <w:rPr>
                <w:rFonts w:cs="Arial"/>
                <w:sz w:val="20"/>
                <w:szCs w:val="20"/>
              </w:rPr>
              <w:t>Weight per weight</w:t>
            </w:r>
          </w:p>
        </w:tc>
      </w:tr>
    </w:tbl>
    <w:p w:rsidR="00A128B3" w:rsidRPr="00A128B3" w:rsidRDefault="00A128B3" w:rsidP="00A128B3">
      <w:pPr>
        <w:rPr>
          <w:rFonts w:cs="Arial"/>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440"/>
      </w:tblGrid>
      <w:tr w:rsidR="00A128B3" w:rsidRPr="00A128B3" w:rsidTr="00C46C9B">
        <w:tc>
          <w:tcPr>
            <w:tcW w:w="9134" w:type="dxa"/>
            <w:gridSpan w:val="2"/>
          </w:tcPr>
          <w:p w:rsidR="00A128B3" w:rsidRPr="00A128B3" w:rsidRDefault="00A128B3" w:rsidP="00A128B3">
            <w:pPr>
              <w:widowControl/>
              <w:rPr>
                <w:rFonts w:cs="Arial"/>
                <w:sz w:val="20"/>
                <w:szCs w:val="20"/>
              </w:rPr>
            </w:pPr>
            <w:r w:rsidRPr="00A128B3">
              <w:rPr>
                <w:rFonts w:cs="Arial"/>
                <w:b/>
                <w:sz w:val="20"/>
                <w:szCs w:val="20"/>
                <w:u w:val="single"/>
              </w:rPr>
              <w:t>Clinical chemistry &amp; haematology</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ALT</w:t>
            </w:r>
          </w:p>
        </w:tc>
        <w:tc>
          <w:tcPr>
            <w:tcW w:w="6440" w:type="dxa"/>
          </w:tcPr>
          <w:p w:rsidR="00A128B3" w:rsidRPr="00A128B3" w:rsidRDefault="00A128B3" w:rsidP="00A128B3">
            <w:pPr>
              <w:widowControl/>
              <w:rPr>
                <w:rFonts w:cs="Arial"/>
                <w:sz w:val="20"/>
                <w:szCs w:val="20"/>
              </w:rPr>
            </w:pPr>
            <w:r w:rsidRPr="00A128B3">
              <w:rPr>
                <w:rFonts w:cs="Arial"/>
                <w:sz w:val="20"/>
                <w:szCs w:val="20"/>
              </w:rPr>
              <w:t>Alanine aminotransferase</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AST</w:t>
            </w:r>
          </w:p>
        </w:tc>
        <w:tc>
          <w:tcPr>
            <w:tcW w:w="6440" w:type="dxa"/>
          </w:tcPr>
          <w:p w:rsidR="00A128B3" w:rsidRPr="00A128B3" w:rsidRDefault="00A128B3" w:rsidP="00A128B3">
            <w:pPr>
              <w:widowControl/>
              <w:rPr>
                <w:rFonts w:cs="Arial"/>
                <w:sz w:val="20"/>
                <w:szCs w:val="20"/>
              </w:rPr>
            </w:pPr>
            <w:r w:rsidRPr="00A128B3">
              <w:rPr>
                <w:rFonts w:cs="Arial"/>
                <w:sz w:val="20"/>
                <w:szCs w:val="20"/>
              </w:rPr>
              <w:t>Aspartate aminotransferase</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CRP</w:t>
            </w:r>
          </w:p>
        </w:tc>
        <w:tc>
          <w:tcPr>
            <w:tcW w:w="6440" w:type="dxa"/>
          </w:tcPr>
          <w:p w:rsidR="00A128B3" w:rsidRPr="00A128B3" w:rsidRDefault="00A128B3" w:rsidP="00A128B3">
            <w:pPr>
              <w:widowControl/>
              <w:rPr>
                <w:rFonts w:cs="Arial"/>
                <w:sz w:val="20"/>
                <w:szCs w:val="20"/>
              </w:rPr>
            </w:pPr>
            <w:r w:rsidRPr="00A128B3">
              <w:rPr>
                <w:rFonts w:cs="Arial"/>
                <w:sz w:val="20"/>
                <w:szCs w:val="20"/>
              </w:rPr>
              <w:t>C-reactive protein</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Hb</w:t>
            </w:r>
          </w:p>
        </w:tc>
        <w:tc>
          <w:tcPr>
            <w:tcW w:w="6440" w:type="dxa"/>
          </w:tcPr>
          <w:p w:rsidR="00A128B3" w:rsidRPr="00A128B3" w:rsidRDefault="00A128B3" w:rsidP="00A128B3">
            <w:pPr>
              <w:widowControl/>
              <w:rPr>
                <w:rFonts w:cs="Arial"/>
                <w:sz w:val="20"/>
                <w:szCs w:val="20"/>
              </w:rPr>
            </w:pPr>
            <w:r w:rsidRPr="00A128B3">
              <w:rPr>
                <w:rFonts w:cs="Arial"/>
                <w:sz w:val="20"/>
                <w:szCs w:val="20"/>
              </w:rPr>
              <w:t>Haemoglobin</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Hct</w:t>
            </w:r>
          </w:p>
        </w:tc>
        <w:tc>
          <w:tcPr>
            <w:tcW w:w="6440" w:type="dxa"/>
          </w:tcPr>
          <w:p w:rsidR="00A128B3" w:rsidRPr="00A128B3" w:rsidRDefault="00A128B3" w:rsidP="00A128B3">
            <w:pPr>
              <w:widowControl/>
              <w:rPr>
                <w:sz w:val="20"/>
                <w:szCs w:val="20"/>
              </w:rPr>
            </w:pPr>
            <w:r w:rsidRPr="00A128B3">
              <w:rPr>
                <w:sz w:val="20"/>
                <w:szCs w:val="20"/>
              </w:rPr>
              <w:t>Haematocrit</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LDH</w:t>
            </w:r>
          </w:p>
        </w:tc>
        <w:tc>
          <w:tcPr>
            <w:tcW w:w="6440" w:type="dxa"/>
          </w:tcPr>
          <w:p w:rsidR="00A128B3" w:rsidRPr="00A128B3" w:rsidRDefault="00A128B3" w:rsidP="00A128B3">
            <w:pPr>
              <w:widowControl/>
              <w:rPr>
                <w:sz w:val="20"/>
                <w:szCs w:val="20"/>
              </w:rPr>
            </w:pPr>
            <w:r w:rsidRPr="00A128B3">
              <w:rPr>
                <w:sz w:val="20"/>
                <w:szCs w:val="20"/>
              </w:rPr>
              <w:t>Lactate dehydrogenase</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RBC</w:t>
            </w:r>
          </w:p>
        </w:tc>
        <w:tc>
          <w:tcPr>
            <w:tcW w:w="6440" w:type="dxa"/>
          </w:tcPr>
          <w:p w:rsidR="00A128B3" w:rsidRPr="00A128B3" w:rsidRDefault="00A128B3" w:rsidP="00A128B3">
            <w:pPr>
              <w:widowControl/>
              <w:rPr>
                <w:sz w:val="20"/>
                <w:szCs w:val="20"/>
              </w:rPr>
            </w:pPr>
            <w:r w:rsidRPr="00A128B3">
              <w:rPr>
                <w:sz w:val="20"/>
                <w:szCs w:val="20"/>
              </w:rPr>
              <w:t>Red Blood Cells (erythrocyte) (count)</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WBC</w:t>
            </w:r>
          </w:p>
        </w:tc>
        <w:tc>
          <w:tcPr>
            <w:tcW w:w="6440" w:type="dxa"/>
          </w:tcPr>
          <w:p w:rsidR="00A128B3" w:rsidRPr="00A128B3" w:rsidRDefault="00A128B3" w:rsidP="00A128B3">
            <w:pPr>
              <w:widowControl/>
              <w:rPr>
                <w:sz w:val="20"/>
                <w:szCs w:val="20"/>
              </w:rPr>
            </w:pPr>
            <w:r w:rsidRPr="00A128B3">
              <w:rPr>
                <w:sz w:val="20"/>
                <w:szCs w:val="20"/>
              </w:rPr>
              <w:t>White Blood Cells (leucocyte) (count)</w:t>
            </w:r>
          </w:p>
        </w:tc>
      </w:tr>
      <w:tr w:rsidR="00596850" w:rsidRPr="00A128B3" w:rsidTr="00596850">
        <w:tc>
          <w:tcPr>
            <w:tcW w:w="2694" w:type="dxa"/>
          </w:tcPr>
          <w:p w:rsidR="00596850" w:rsidRPr="00A128B3" w:rsidRDefault="00596850" w:rsidP="00A128B3">
            <w:pPr>
              <w:rPr>
                <w:rFonts w:cs="Arial"/>
                <w:sz w:val="20"/>
                <w:szCs w:val="20"/>
              </w:rPr>
            </w:pPr>
          </w:p>
        </w:tc>
        <w:tc>
          <w:tcPr>
            <w:tcW w:w="6440" w:type="dxa"/>
          </w:tcPr>
          <w:p w:rsidR="00596850" w:rsidRPr="00A128B3" w:rsidRDefault="00596850" w:rsidP="00A128B3">
            <w:pPr>
              <w:widowControl/>
              <w:rPr>
                <w:sz w:val="20"/>
                <w:szCs w:val="20"/>
              </w:rPr>
            </w:pPr>
          </w:p>
        </w:tc>
      </w:tr>
      <w:tr w:rsidR="005E68DA" w:rsidRPr="00A128B3" w:rsidTr="00596850">
        <w:tc>
          <w:tcPr>
            <w:tcW w:w="2694" w:type="dxa"/>
          </w:tcPr>
          <w:p w:rsidR="005E68DA" w:rsidRPr="00C46C9B" w:rsidRDefault="005E68DA" w:rsidP="00A128B3">
            <w:pPr>
              <w:rPr>
                <w:rFonts w:cs="Arial"/>
                <w:b/>
                <w:sz w:val="20"/>
                <w:szCs w:val="20"/>
                <w:u w:val="single"/>
              </w:rPr>
            </w:pPr>
            <w:r w:rsidRPr="00C46C9B">
              <w:rPr>
                <w:rFonts w:cs="Arial"/>
                <w:b/>
                <w:sz w:val="20"/>
                <w:szCs w:val="20"/>
                <w:u w:val="single"/>
              </w:rPr>
              <w:t>Clinical terminology</w:t>
            </w:r>
          </w:p>
        </w:tc>
        <w:tc>
          <w:tcPr>
            <w:tcW w:w="6440" w:type="dxa"/>
          </w:tcPr>
          <w:p w:rsidR="005E68DA" w:rsidRPr="00A128B3" w:rsidRDefault="005E68DA" w:rsidP="00A128B3">
            <w:pPr>
              <w:widowControl/>
              <w:rPr>
                <w:sz w:val="20"/>
                <w:szCs w:val="20"/>
              </w:rPr>
            </w:pPr>
          </w:p>
        </w:tc>
      </w:tr>
      <w:tr w:rsidR="00596850" w:rsidRPr="00A128B3" w:rsidTr="00596850">
        <w:tc>
          <w:tcPr>
            <w:tcW w:w="2694" w:type="dxa"/>
          </w:tcPr>
          <w:p w:rsidR="00596850" w:rsidRPr="00A128B3" w:rsidRDefault="00596850" w:rsidP="00A128B3">
            <w:pPr>
              <w:rPr>
                <w:rFonts w:cs="Arial"/>
                <w:sz w:val="20"/>
                <w:szCs w:val="20"/>
              </w:rPr>
            </w:pPr>
            <w:r>
              <w:rPr>
                <w:rFonts w:cs="Arial"/>
                <w:sz w:val="20"/>
                <w:szCs w:val="20"/>
              </w:rPr>
              <w:t>BP</w:t>
            </w:r>
          </w:p>
        </w:tc>
        <w:tc>
          <w:tcPr>
            <w:tcW w:w="6440" w:type="dxa"/>
          </w:tcPr>
          <w:p w:rsidR="00596850" w:rsidRPr="00A128B3" w:rsidRDefault="00596850" w:rsidP="00A128B3">
            <w:pPr>
              <w:widowControl/>
              <w:rPr>
                <w:sz w:val="20"/>
                <w:szCs w:val="20"/>
              </w:rPr>
            </w:pPr>
            <w:r>
              <w:rPr>
                <w:sz w:val="20"/>
                <w:szCs w:val="20"/>
              </w:rPr>
              <w:t>Blood pressure</w:t>
            </w:r>
          </w:p>
        </w:tc>
      </w:tr>
      <w:tr w:rsidR="00A128B3" w:rsidRPr="00A128B3" w:rsidTr="00C46C9B">
        <w:tc>
          <w:tcPr>
            <w:tcW w:w="2694" w:type="dxa"/>
          </w:tcPr>
          <w:p w:rsidR="00A128B3" w:rsidRPr="00A128B3" w:rsidRDefault="00596850" w:rsidP="00A128B3">
            <w:pPr>
              <w:rPr>
                <w:rFonts w:cs="Arial"/>
                <w:sz w:val="20"/>
                <w:szCs w:val="20"/>
              </w:rPr>
            </w:pPr>
            <w:r>
              <w:rPr>
                <w:rFonts w:cs="Arial"/>
                <w:sz w:val="20"/>
                <w:szCs w:val="20"/>
              </w:rPr>
              <w:t>ECG</w:t>
            </w:r>
          </w:p>
        </w:tc>
        <w:tc>
          <w:tcPr>
            <w:tcW w:w="6440" w:type="dxa"/>
          </w:tcPr>
          <w:p w:rsidR="00A128B3" w:rsidRPr="00A128B3" w:rsidRDefault="00596850" w:rsidP="00A128B3">
            <w:pPr>
              <w:widowControl/>
              <w:rPr>
                <w:sz w:val="20"/>
                <w:szCs w:val="20"/>
              </w:rPr>
            </w:pPr>
            <w:r>
              <w:rPr>
                <w:sz w:val="20"/>
                <w:szCs w:val="20"/>
              </w:rPr>
              <w:t>Electrocardiogram</w:t>
            </w:r>
          </w:p>
        </w:tc>
      </w:tr>
      <w:tr w:rsidR="00596850" w:rsidRPr="00A128B3" w:rsidTr="00596850">
        <w:tc>
          <w:tcPr>
            <w:tcW w:w="2694" w:type="dxa"/>
          </w:tcPr>
          <w:p w:rsidR="00596850" w:rsidRPr="00A128B3" w:rsidRDefault="00183DF8" w:rsidP="00A128B3">
            <w:pPr>
              <w:rPr>
                <w:rFonts w:cs="Arial"/>
                <w:sz w:val="20"/>
                <w:szCs w:val="20"/>
              </w:rPr>
            </w:pPr>
            <w:r>
              <w:rPr>
                <w:rFonts w:cs="Arial"/>
                <w:sz w:val="20"/>
                <w:szCs w:val="20"/>
              </w:rPr>
              <w:t>bpm</w:t>
            </w:r>
          </w:p>
        </w:tc>
        <w:tc>
          <w:tcPr>
            <w:tcW w:w="6440" w:type="dxa"/>
          </w:tcPr>
          <w:p w:rsidR="00596850" w:rsidRPr="00A128B3" w:rsidRDefault="00183DF8" w:rsidP="00A128B3">
            <w:pPr>
              <w:widowControl/>
              <w:rPr>
                <w:sz w:val="20"/>
                <w:szCs w:val="20"/>
              </w:rPr>
            </w:pPr>
            <w:r>
              <w:rPr>
                <w:sz w:val="20"/>
                <w:szCs w:val="20"/>
              </w:rPr>
              <w:t>Beats per minute</w:t>
            </w:r>
          </w:p>
        </w:tc>
      </w:tr>
      <w:tr w:rsidR="00596850" w:rsidRPr="00A128B3" w:rsidTr="00596850">
        <w:tc>
          <w:tcPr>
            <w:tcW w:w="2694" w:type="dxa"/>
          </w:tcPr>
          <w:p w:rsidR="00596850" w:rsidRPr="00A128B3" w:rsidRDefault="00596850" w:rsidP="00A128B3">
            <w:pPr>
              <w:rPr>
                <w:rFonts w:cs="Arial"/>
                <w:sz w:val="20"/>
                <w:szCs w:val="20"/>
              </w:rPr>
            </w:pPr>
          </w:p>
        </w:tc>
        <w:tc>
          <w:tcPr>
            <w:tcW w:w="6440" w:type="dxa"/>
          </w:tcPr>
          <w:p w:rsidR="00596850" w:rsidRPr="00A128B3" w:rsidRDefault="00596850" w:rsidP="00A128B3">
            <w:pPr>
              <w:widowControl/>
              <w:rPr>
                <w:sz w:val="20"/>
                <w:szCs w:val="20"/>
              </w:rPr>
            </w:pPr>
          </w:p>
        </w:tc>
      </w:tr>
      <w:tr w:rsidR="00A128B3" w:rsidRPr="00A128B3" w:rsidTr="00C46C9B">
        <w:tc>
          <w:tcPr>
            <w:tcW w:w="2694" w:type="dxa"/>
          </w:tcPr>
          <w:p w:rsidR="00A128B3" w:rsidRPr="00A128B3" w:rsidRDefault="008C706C" w:rsidP="00A128B3">
            <w:pPr>
              <w:rPr>
                <w:rFonts w:cs="Arial"/>
                <w:b/>
                <w:sz w:val="20"/>
                <w:szCs w:val="20"/>
                <w:u w:val="single"/>
              </w:rPr>
            </w:pPr>
            <w:r>
              <w:rPr>
                <w:rFonts w:cs="Arial"/>
                <w:b/>
                <w:sz w:val="20"/>
                <w:szCs w:val="20"/>
                <w:u w:val="single"/>
              </w:rPr>
              <w:t>Other a</w:t>
            </w:r>
            <w:r w:rsidR="00E62A0A">
              <w:rPr>
                <w:rFonts w:cs="Arial"/>
                <w:b/>
                <w:sz w:val="20"/>
                <w:szCs w:val="20"/>
                <w:u w:val="single"/>
              </w:rPr>
              <w:t>bbreviations</w:t>
            </w:r>
          </w:p>
        </w:tc>
        <w:tc>
          <w:tcPr>
            <w:tcW w:w="6440" w:type="dxa"/>
          </w:tcPr>
          <w:p w:rsidR="00A128B3" w:rsidRPr="00A128B3" w:rsidRDefault="00A128B3" w:rsidP="00A128B3">
            <w:pPr>
              <w:rPr>
                <w:rFonts w:cs="Arial"/>
                <w:sz w:val="20"/>
                <w:szCs w:val="20"/>
              </w:rPr>
            </w:pPr>
          </w:p>
        </w:tc>
      </w:tr>
      <w:tr w:rsidR="00A128B3" w:rsidRPr="00A128B3" w:rsidTr="00C46C9B">
        <w:tc>
          <w:tcPr>
            <w:tcW w:w="2694" w:type="dxa"/>
          </w:tcPr>
          <w:p w:rsidR="00A128B3" w:rsidRPr="00A128B3" w:rsidRDefault="00677E4A" w:rsidP="00A128B3">
            <w:pPr>
              <w:widowControl/>
              <w:rPr>
                <w:rFonts w:cs="Arial"/>
                <w:sz w:val="20"/>
                <w:szCs w:val="20"/>
              </w:rPr>
            </w:pPr>
            <w:r>
              <w:rPr>
                <w:rFonts w:cs="Arial"/>
                <w:sz w:val="20"/>
                <w:szCs w:val="20"/>
              </w:rPr>
              <w:t>ARfD</w:t>
            </w:r>
          </w:p>
        </w:tc>
        <w:tc>
          <w:tcPr>
            <w:tcW w:w="6440" w:type="dxa"/>
          </w:tcPr>
          <w:p w:rsidR="00A128B3" w:rsidRPr="00A128B3" w:rsidRDefault="00677E4A" w:rsidP="00A128B3">
            <w:pPr>
              <w:widowControl/>
              <w:rPr>
                <w:rFonts w:cs="Arial"/>
                <w:sz w:val="20"/>
                <w:szCs w:val="20"/>
              </w:rPr>
            </w:pPr>
            <w:r>
              <w:rPr>
                <w:rFonts w:cs="Arial"/>
                <w:sz w:val="20"/>
                <w:szCs w:val="20"/>
              </w:rPr>
              <w:t>Acute Reference Dose</w:t>
            </w:r>
          </w:p>
        </w:tc>
      </w:tr>
      <w:tr w:rsidR="00437D27" w:rsidRPr="00A128B3" w:rsidTr="00596850">
        <w:tc>
          <w:tcPr>
            <w:tcW w:w="2694" w:type="dxa"/>
          </w:tcPr>
          <w:p w:rsidR="00437D27" w:rsidRPr="00A128B3" w:rsidRDefault="00437D27" w:rsidP="00A128B3">
            <w:pPr>
              <w:widowControl/>
              <w:rPr>
                <w:rFonts w:cs="Arial"/>
                <w:sz w:val="20"/>
                <w:szCs w:val="20"/>
              </w:rPr>
            </w:pPr>
            <w:r>
              <w:rPr>
                <w:rFonts w:cs="Arial"/>
                <w:sz w:val="20"/>
                <w:szCs w:val="20"/>
              </w:rPr>
              <w:t>AUC</w:t>
            </w:r>
          </w:p>
        </w:tc>
        <w:tc>
          <w:tcPr>
            <w:tcW w:w="6440" w:type="dxa"/>
          </w:tcPr>
          <w:p w:rsidR="00437D27" w:rsidRPr="00A128B3" w:rsidRDefault="00437D27" w:rsidP="00A128B3">
            <w:pPr>
              <w:widowControl/>
              <w:rPr>
                <w:rFonts w:cs="Arial"/>
                <w:sz w:val="20"/>
                <w:szCs w:val="20"/>
              </w:rPr>
            </w:pPr>
            <w:r>
              <w:rPr>
                <w:rFonts w:cs="Arial"/>
                <w:sz w:val="20"/>
                <w:szCs w:val="20"/>
              </w:rPr>
              <w:t>Area under the serum</w:t>
            </w:r>
            <w:r w:rsidR="004A1EBC">
              <w:rPr>
                <w:rFonts w:cs="Arial"/>
                <w:sz w:val="20"/>
                <w:szCs w:val="20"/>
              </w:rPr>
              <w:t>/plasma</w:t>
            </w:r>
            <w:r>
              <w:rPr>
                <w:rFonts w:cs="Arial"/>
                <w:sz w:val="20"/>
                <w:szCs w:val="20"/>
              </w:rPr>
              <w:t xml:space="preserve"> concentration versus time curve</w:t>
            </w:r>
          </w:p>
        </w:tc>
      </w:tr>
      <w:tr w:rsidR="00437D27" w:rsidRPr="00A128B3" w:rsidTr="00596850">
        <w:tc>
          <w:tcPr>
            <w:tcW w:w="2694" w:type="dxa"/>
          </w:tcPr>
          <w:p w:rsidR="00437D27" w:rsidRPr="00A128B3" w:rsidRDefault="00437D27" w:rsidP="00A128B3">
            <w:pPr>
              <w:widowControl/>
              <w:rPr>
                <w:rFonts w:cs="Arial"/>
                <w:sz w:val="20"/>
                <w:szCs w:val="20"/>
              </w:rPr>
            </w:pPr>
            <w:r>
              <w:rPr>
                <w:rFonts w:cs="Arial"/>
                <w:sz w:val="20"/>
                <w:szCs w:val="20"/>
              </w:rPr>
              <w:t>C</w:t>
            </w:r>
            <w:r w:rsidRPr="00C46C9B">
              <w:rPr>
                <w:rFonts w:cs="Arial"/>
                <w:sz w:val="20"/>
                <w:szCs w:val="20"/>
                <w:vertAlign w:val="subscript"/>
              </w:rPr>
              <w:t>max</w:t>
            </w:r>
          </w:p>
        </w:tc>
        <w:tc>
          <w:tcPr>
            <w:tcW w:w="6440" w:type="dxa"/>
          </w:tcPr>
          <w:p w:rsidR="00437D27" w:rsidRPr="00A128B3" w:rsidRDefault="00437D27" w:rsidP="00A128B3">
            <w:pPr>
              <w:widowControl/>
              <w:rPr>
                <w:rFonts w:cs="Arial"/>
                <w:sz w:val="20"/>
                <w:szCs w:val="20"/>
              </w:rPr>
            </w:pPr>
            <w:r>
              <w:rPr>
                <w:rFonts w:cs="Arial"/>
                <w:sz w:val="20"/>
                <w:szCs w:val="20"/>
              </w:rPr>
              <w:t>Maximum serum concentration</w:t>
            </w:r>
          </w:p>
        </w:tc>
      </w:tr>
      <w:tr w:rsidR="00A128B3" w:rsidRPr="00A128B3" w:rsidTr="00C46C9B">
        <w:tc>
          <w:tcPr>
            <w:tcW w:w="2694" w:type="dxa"/>
          </w:tcPr>
          <w:p w:rsidR="00A128B3" w:rsidRPr="00A128B3" w:rsidRDefault="00A128B3" w:rsidP="00A128B3">
            <w:pPr>
              <w:widowControl/>
              <w:rPr>
                <w:rFonts w:cs="Arial"/>
                <w:sz w:val="20"/>
                <w:szCs w:val="20"/>
              </w:rPr>
            </w:pPr>
            <w:r w:rsidRPr="00A128B3">
              <w:rPr>
                <w:rFonts w:cs="Arial"/>
                <w:sz w:val="20"/>
                <w:szCs w:val="20"/>
              </w:rPr>
              <w:t>DEA</w:t>
            </w:r>
          </w:p>
        </w:tc>
        <w:tc>
          <w:tcPr>
            <w:tcW w:w="6440" w:type="dxa"/>
          </w:tcPr>
          <w:p w:rsidR="00A128B3" w:rsidRPr="00A128B3" w:rsidRDefault="00A128B3" w:rsidP="00A128B3">
            <w:pPr>
              <w:widowControl/>
              <w:rPr>
                <w:rFonts w:cs="Arial"/>
                <w:sz w:val="20"/>
                <w:szCs w:val="20"/>
              </w:rPr>
            </w:pPr>
            <w:r w:rsidRPr="00A128B3">
              <w:rPr>
                <w:rFonts w:cs="Arial"/>
                <w:sz w:val="20"/>
                <w:szCs w:val="20"/>
              </w:rPr>
              <w:t>Dietary Exposure Assessment</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FSANZ</w:t>
            </w:r>
          </w:p>
        </w:tc>
        <w:tc>
          <w:tcPr>
            <w:tcW w:w="6440" w:type="dxa"/>
          </w:tcPr>
          <w:p w:rsidR="00A128B3" w:rsidRPr="00A128B3" w:rsidRDefault="00A128B3" w:rsidP="00A128B3">
            <w:pPr>
              <w:rPr>
                <w:rFonts w:cs="Arial"/>
                <w:sz w:val="20"/>
                <w:szCs w:val="20"/>
              </w:rPr>
            </w:pPr>
            <w:r w:rsidRPr="00A128B3">
              <w:rPr>
                <w:rFonts w:cs="Arial"/>
                <w:sz w:val="20"/>
                <w:szCs w:val="20"/>
              </w:rPr>
              <w:t>Food Standards Australia New Zealand</w:t>
            </w:r>
          </w:p>
        </w:tc>
      </w:tr>
      <w:tr w:rsidR="00A128B3" w:rsidRPr="00A128B3" w:rsidTr="00C46C9B">
        <w:tc>
          <w:tcPr>
            <w:tcW w:w="2694" w:type="dxa"/>
          </w:tcPr>
          <w:p w:rsidR="00A128B3" w:rsidRPr="00A128B3" w:rsidRDefault="00D426D4" w:rsidP="00A128B3">
            <w:pPr>
              <w:rPr>
                <w:rFonts w:cs="Arial"/>
                <w:sz w:val="20"/>
                <w:szCs w:val="20"/>
              </w:rPr>
            </w:pPr>
            <w:r>
              <w:rPr>
                <w:rFonts w:cs="Arial"/>
                <w:sz w:val="20"/>
                <w:szCs w:val="20"/>
              </w:rPr>
              <w:t>GC</w:t>
            </w:r>
          </w:p>
        </w:tc>
        <w:tc>
          <w:tcPr>
            <w:tcW w:w="6440" w:type="dxa"/>
          </w:tcPr>
          <w:p w:rsidR="00A128B3" w:rsidRPr="00A128B3" w:rsidRDefault="00A90624" w:rsidP="00A128B3">
            <w:pPr>
              <w:rPr>
                <w:rFonts w:cs="Arial"/>
                <w:sz w:val="20"/>
                <w:szCs w:val="20"/>
              </w:rPr>
            </w:pPr>
            <w:r>
              <w:rPr>
                <w:rFonts w:cs="Arial"/>
                <w:sz w:val="20"/>
                <w:szCs w:val="20"/>
              </w:rPr>
              <w:t>Gas C</w:t>
            </w:r>
            <w:r w:rsidR="00D426D4">
              <w:rPr>
                <w:rFonts w:cs="Arial"/>
                <w:sz w:val="20"/>
                <w:szCs w:val="20"/>
              </w:rPr>
              <w:t>hromatography</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HPLC</w:t>
            </w:r>
          </w:p>
        </w:tc>
        <w:tc>
          <w:tcPr>
            <w:tcW w:w="6440" w:type="dxa"/>
          </w:tcPr>
          <w:p w:rsidR="00A128B3" w:rsidRPr="00A128B3" w:rsidRDefault="00A128B3" w:rsidP="00A128B3">
            <w:pPr>
              <w:rPr>
                <w:rFonts w:cs="Arial"/>
                <w:sz w:val="20"/>
                <w:szCs w:val="20"/>
              </w:rPr>
            </w:pPr>
            <w:r w:rsidRPr="00A128B3">
              <w:rPr>
                <w:rFonts w:cs="Arial"/>
                <w:sz w:val="20"/>
                <w:szCs w:val="20"/>
              </w:rPr>
              <w:t>High Performance Liquid Chromatography</w:t>
            </w:r>
          </w:p>
        </w:tc>
      </w:tr>
      <w:tr w:rsidR="009175A8" w:rsidRPr="00A128B3" w:rsidTr="00596850">
        <w:tc>
          <w:tcPr>
            <w:tcW w:w="2694" w:type="dxa"/>
          </w:tcPr>
          <w:p w:rsidR="009175A8" w:rsidRPr="00A128B3" w:rsidRDefault="009175A8" w:rsidP="00A128B3">
            <w:pPr>
              <w:rPr>
                <w:rFonts w:cs="Arial"/>
                <w:sz w:val="20"/>
                <w:szCs w:val="20"/>
              </w:rPr>
            </w:pPr>
            <w:r>
              <w:rPr>
                <w:rFonts w:cs="Arial"/>
                <w:sz w:val="20"/>
                <w:szCs w:val="20"/>
              </w:rPr>
              <w:t>LC-MS/MS</w:t>
            </w:r>
          </w:p>
        </w:tc>
        <w:tc>
          <w:tcPr>
            <w:tcW w:w="6440" w:type="dxa"/>
          </w:tcPr>
          <w:p w:rsidR="009175A8" w:rsidRPr="00A128B3" w:rsidRDefault="00A90624" w:rsidP="00A128B3">
            <w:pPr>
              <w:rPr>
                <w:rFonts w:cs="Arial"/>
                <w:sz w:val="20"/>
                <w:szCs w:val="20"/>
              </w:rPr>
            </w:pPr>
            <w:r>
              <w:rPr>
                <w:rFonts w:cs="Arial"/>
                <w:sz w:val="20"/>
                <w:szCs w:val="20"/>
              </w:rPr>
              <w:t>Liquid Chromatography-Tandem Mass S</w:t>
            </w:r>
            <w:r w:rsidR="009175A8">
              <w:rPr>
                <w:rFonts w:cs="Arial"/>
                <w:sz w:val="20"/>
                <w:szCs w:val="20"/>
              </w:rPr>
              <w:t>pectrometry</w:t>
            </w:r>
          </w:p>
        </w:tc>
      </w:tr>
      <w:tr w:rsidR="00CC4A34" w:rsidRPr="00A128B3" w:rsidTr="00596850">
        <w:tc>
          <w:tcPr>
            <w:tcW w:w="2694" w:type="dxa"/>
          </w:tcPr>
          <w:p w:rsidR="00CC4A34" w:rsidRPr="00A128B3" w:rsidRDefault="00CC4A34" w:rsidP="00A128B3">
            <w:pPr>
              <w:rPr>
                <w:rFonts w:cs="Arial"/>
                <w:sz w:val="20"/>
                <w:szCs w:val="20"/>
              </w:rPr>
            </w:pPr>
            <w:r>
              <w:rPr>
                <w:rFonts w:cs="Arial"/>
                <w:sz w:val="20"/>
                <w:szCs w:val="20"/>
              </w:rPr>
              <w:t>LOAEL</w:t>
            </w:r>
          </w:p>
        </w:tc>
        <w:tc>
          <w:tcPr>
            <w:tcW w:w="6440" w:type="dxa"/>
          </w:tcPr>
          <w:p w:rsidR="00CC4A34" w:rsidRPr="00A128B3" w:rsidRDefault="00CC4A34" w:rsidP="00A128B3">
            <w:pPr>
              <w:rPr>
                <w:rFonts w:cs="Arial"/>
                <w:sz w:val="20"/>
                <w:szCs w:val="20"/>
              </w:rPr>
            </w:pPr>
            <w:r>
              <w:rPr>
                <w:rFonts w:cs="Arial"/>
                <w:sz w:val="20"/>
                <w:szCs w:val="20"/>
              </w:rPr>
              <w:t xml:space="preserve">Lowest </w:t>
            </w:r>
            <w:r w:rsidRPr="00CC4A34">
              <w:rPr>
                <w:rFonts w:cs="Arial"/>
                <w:sz w:val="20"/>
                <w:szCs w:val="20"/>
              </w:rPr>
              <w:t>Observed Adverse Effect Level</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ML</w:t>
            </w:r>
          </w:p>
        </w:tc>
        <w:tc>
          <w:tcPr>
            <w:tcW w:w="6440" w:type="dxa"/>
          </w:tcPr>
          <w:p w:rsidR="00A128B3" w:rsidRPr="00A128B3" w:rsidRDefault="00A128B3" w:rsidP="00A128B3">
            <w:pPr>
              <w:rPr>
                <w:rFonts w:cs="Arial"/>
                <w:sz w:val="20"/>
                <w:szCs w:val="20"/>
              </w:rPr>
            </w:pPr>
            <w:r w:rsidRPr="00A128B3">
              <w:rPr>
                <w:rFonts w:cs="Arial"/>
                <w:sz w:val="20"/>
                <w:szCs w:val="20"/>
              </w:rPr>
              <w:t>Maximum</w:t>
            </w:r>
            <w:r w:rsidR="00CC2ED9">
              <w:rPr>
                <w:rFonts w:cs="Arial"/>
                <w:sz w:val="20"/>
                <w:szCs w:val="20"/>
              </w:rPr>
              <w:t xml:space="preserve"> </w:t>
            </w:r>
            <w:r w:rsidRPr="00A128B3">
              <w:rPr>
                <w:rFonts w:cs="Arial"/>
                <w:sz w:val="20"/>
                <w:szCs w:val="20"/>
              </w:rPr>
              <w:t>Level</w:t>
            </w:r>
          </w:p>
        </w:tc>
      </w:tr>
      <w:tr w:rsidR="00A128B3" w:rsidRPr="00A128B3" w:rsidTr="00C46C9B">
        <w:tc>
          <w:tcPr>
            <w:tcW w:w="2694" w:type="dxa"/>
          </w:tcPr>
          <w:p w:rsidR="00A128B3" w:rsidRPr="00A128B3" w:rsidRDefault="00A128B3" w:rsidP="00A128B3">
            <w:pPr>
              <w:rPr>
                <w:rFonts w:cs="Arial"/>
                <w:sz w:val="20"/>
                <w:szCs w:val="20"/>
              </w:rPr>
            </w:pPr>
            <w:r w:rsidRPr="00A128B3">
              <w:rPr>
                <w:rFonts w:cs="Arial"/>
                <w:sz w:val="20"/>
                <w:szCs w:val="20"/>
              </w:rPr>
              <w:t>NOAEL</w:t>
            </w:r>
          </w:p>
        </w:tc>
        <w:tc>
          <w:tcPr>
            <w:tcW w:w="6440" w:type="dxa"/>
          </w:tcPr>
          <w:p w:rsidR="00A128B3" w:rsidRPr="00A128B3" w:rsidRDefault="00A128B3" w:rsidP="00A128B3">
            <w:pPr>
              <w:rPr>
                <w:rFonts w:cs="Arial"/>
                <w:sz w:val="20"/>
                <w:szCs w:val="20"/>
              </w:rPr>
            </w:pPr>
            <w:r w:rsidRPr="00A128B3">
              <w:rPr>
                <w:rFonts w:cs="Arial"/>
                <w:sz w:val="20"/>
                <w:szCs w:val="20"/>
              </w:rPr>
              <w:t>No Observed Adverse Effect Level</w:t>
            </w:r>
          </w:p>
        </w:tc>
      </w:tr>
      <w:tr w:rsidR="003952DB" w:rsidRPr="00A128B3" w:rsidTr="00C46C9B">
        <w:tc>
          <w:tcPr>
            <w:tcW w:w="2694" w:type="dxa"/>
          </w:tcPr>
          <w:p w:rsidR="003952DB" w:rsidRPr="00A128B3" w:rsidRDefault="003952DB" w:rsidP="00A128B3">
            <w:pPr>
              <w:rPr>
                <w:rFonts w:cs="Arial"/>
                <w:sz w:val="20"/>
                <w:szCs w:val="20"/>
              </w:rPr>
            </w:pPr>
            <w:r>
              <w:rPr>
                <w:rFonts w:cs="Arial"/>
                <w:sz w:val="20"/>
                <w:szCs w:val="20"/>
              </w:rPr>
              <w:t>NZFSA</w:t>
            </w:r>
          </w:p>
        </w:tc>
        <w:tc>
          <w:tcPr>
            <w:tcW w:w="6440" w:type="dxa"/>
          </w:tcPr>
          <w:p w:rsidR="003952DB" w:rsidRPr="00A128B3" w:rsidRDefault="003952DB" w:rsidP="00A128B3">
            <w:pPr>
              <w:rPr>
                <w:rFonts w:cs="Arial"/>
                <w:sz w:val="20"/>
                <w:szCs w:val="20"/>
              </w:rPr>
            </w:pPr>
            <w:r>
              <w:rPr>
                <w:rFonts w:cs="Arial"/>
                <w:sz w:val="20"/>
                <w:szCs w:val="20"/>
              </w:rPr>
              <w:t>New Zealand Food Safety Authority</w:t>
            </w:r>
          </w:p>
        </w:tc>
      </w:tr>
      <w:tr w:rsidR="004A1EBC" w:rsidRPr="00A128B3" w:rsidTr="00C46C9B">
        <w:tc>
          <w:tcPr>
            <w:tcW w:w="2694" w:type="dxa"/>
          </w:tcPr>
          <w:p w:rsidR="004A1EBC" w:rsidRPr="00A128B3" w:rsidRDefault="004A1EBC" w:rsidP="00A128B3">
            <w:pPr>
              <w:rPr>
                <w:rFonts w:cs="Arial"/>
                <w:sz w:val="20"/>
                <w:szCs w:val="20"/>
              </w:rPr>
            </w:pPr>
            <w:r>
              <w:rPr>
                <w:rFonts w:cs="Arial"/>
                <w:sz w:val="20"/>
                <w:szCs w:val="20"/>
              </w:rPr>
              <w:t>SD</w:t>
            </w:r>
          </w:p>
        </w:tc>
        <w:tc>
          <w:tcPr>
            <w:tcW w:w="6440" w:type="dxa"/>
          </w:tcPr>
          <w:p w:rsidR="004A1EBC" w:rsidRPr="00A128B3" w:rsidRDefault="004A1EBC" w:rsidP="00A128B3">
            <w:pPr>
              <w:rPr>
                <w:rFonts w:cs="Arial"/>
                <w:sz w:val="20"/>
                <w:szCs w:val="20"/>
              </w:rPr>
            </w:pPr>
            <w:r>
              <w:rPr>
                <w:rFonts w:cs="Arial"/>
                <w:sz w:val="20"/>
                <w:szCs w:val="20"/>
              </w:rPr>
              <w:t>Standard deviation</w:t>
            </w:r>
          </w:p>
        </w:tc>
      </w:tr>
      <w:tr w:rsidR="00F01CB8" w:rsidRPr="00A128B3" w:rsidTr="00596850">
        <w:tc>
          <w:tcPr>
            <w:tcW w:w="2694" w:type="dxa"/>
          </w:tcPr>
          <w:p w:rsidR="00F01CB8" w:rsidRPr="00A128B3" w:rsidRDefault="00F01CB8" w:rsidP="00A128B3">
            <w:pPr>
              <w:rPr>
                <w:rFonts w:cs="Arial"/>
                <w:sz w:val="20"/>
                <w:szCs w:val="20"/>
              </w:rPr>
            </w:pPr>
            <w:r>
              <w:rPr>
                <w:rFonts w:cs="Arial"/>
                <w:sz w:val="20"/>
                <w:szCs w:val="20"/>
              </w:rPr>
              <w:t>SEM</w:t>
            </w:r>
          </w:p>
        </w:tc>
        <w:tc>
          <w:tcPr>
            <w:tcW w:w="6440" w:type="dxa"/>
          </w:tcPr>
          <w:p w:rsidR="00F01CB8" w:rsidRPr="00A128B3" w:rsidRDefault="00F01CB8" w:rsidP="00A128B3">
            <w:pPr>
              <w:rPr>
                <w:rFonts w:cs="Arial"/>
                <w:sz w:val="20"/>
                <w:szCs w:val="20"/>
              </w:rPr>
            </w:pPr>
            <w:r>
              <w:rPr>
                <w:rFonts w:cs="Arial"/>
                <w:sz w:val="20"/>
                <w:szCs w:val="20"/>
              </w:rPr>
              <w:t>Standard error of the mean</w:t>
            </w:r>
          </w:p>
        </w:tc>
      </w:tr>
      <w:tr w:rsidR="00437D27" w:rsidRPr="00A128B3" w:rsidTr="00596850">
        <w:tc>
          <w:tcPr>
            <w:tcW w:w="2694" w:type="dxa"/>
          </w:tcPr>
          <w:p w:rsidR="00437D27" w:rsidRPr="00A128B3" w:rsidRDefault="00437D27" w:rsidP="00A128B3">
            <w:pPr>
              <w:rPr>
                <w:rFonts w:cs="Arial"/>
                <w:sz w:val="20"/>
                <w:szCs w:val="20"/>
              </w:rPr>
            </w:pPr>
            <w:r>
              <w:rPr>
                <w:rFonts w:cs="Arial"/>
                <w:sz w:val="20"/>
                <w:szCs w:val="20"/>
              </w:rPr>
              <w:t>T</w:t>
            </w:r>
            <w:r w:rsidRPr="00C46C9B">
              <w:rPr>
                <w:rFonts w:cs="Arial"/>
                <w:sz w:val="20"/>
                <w:szCs w:val="20"/>
                <w:vertAlign w:val="subscript"/>
              </w:rPr>
              <w:t>max</w:t>
            </w:r>
          </w:p>
        </w:tc>
        <w:tc>
          <w:tcPr>
            <w:tcW w:w="6440" w:type="dxa"/>
          </w:tcPr>
          <w:p w:rsidR="00437D27" w:rsidRPr="00A128B3" w:rsidRDefault="00437D27" w:rsidP="00A128B3">
            <w:pPr>
              <w:rPr>
                <w:rFonts w:cs="Arial"/>
                <w:sz w:val="20"/>
                <w:szCs w:val="20"/>
              </w:rPr>
            </w:pPr>
            <w:r>
              <w:rPr>
                <w:rFonts w:cs="Arial"/>
                <w:sz w:val="20"/>
                <w:szCs w:val="20"/>
              </w:rPr>
              <w:t>Time to maximum serum concentration</w:t>
            </w:r>
          </w:p>
        </w:tc>
      </w:tr>
    </w:tbl>
    <w:p w:rsidR="00A128B3" w:rsidRPr="00A128B3" w:rsidRDefault="00A128B3" w:rsidP="00A128B3"/>
    <w:p w:rsidR="00A128B3" w:rsidRPr="00A128B3" w:rsidRDefault="00A128B3" w:rsidP="00A128B3">
      <w:pPr>
        <w:widowControl/>
        <w:rPr>
          <w:rFonts w:ascii="Tahoma" w:hAnsi="Tahoma" w:cs="Tahoma"/>
          <w:b/>
          <w:bCs/>
          <w:kern w:val="32"/>
          <w:sz w:val="28"/>
          <w:szCs w:val="32"/>
          <w:u w:val="single"/>
        </w:rPr>
      </w:pPr>
      <w:r w:rsidRPr="00A128B3">
        <w:br w:type="page"/>
      </w:r>
    </w:p>
    <w:p w:rsidR="00A128B3" w:rsidRDefault="00A128B3">
      <w:pPr>
        <w:widowControl/>
        <w:rPr>
          <w:b/>
          <w:sz w:val="28"/>
          <w:szCs w:val="28"/>
        </w:rPr>
      </w:pPr>
    </w:p>
    <w:p w:rsidR="00562917" w:rsidRPr="00352CF2" w:rsidRDefault="00562917" w:rsidP="00690206">
      <w:pPr>
        <w:jc w:val="center"/>
        <w:rPr>
          <w:b/>
          <w:sz w:val="28"/>
          <w:szCs w:val="28"/>
        </w:rPr>
      </w:pPr>
      <w:r w:rsidRPr="00352CF2">
        <w:rPr>
          <w:b/>
          <w:sz w:val="28"/>
          <w:szCs w:val="28"/>
        </w:rPr>
        <w:t xml:space="preserve">Table of </w:t>
      </w:r>
      <w:r w:rsidR="00456B54" w:rsidRPr="00352CF2">
        <w:rPr>
          <w:b/>
          <w:sz w:val="28"/>
          <w:szCs w:val="28"/>
        </w:rPr>
        <w:t>C</w:t>
      </w:r>
      <w:r w:rsidRPr="00352CF2">
        <w:rPr>
          <w:b/>
          <w:sz w:val="28"/>
          <w:szCs w:val="28"/>
        </w:rPr>
        <w:t>ontents</w:t>
      </w:r>
    </w:p>
    <w:p w:rsidR="00562917" w:rsidRDefault="00562917" w:rsidP="00051ED9"/>
    <w:p w:rsidR="003519F6" w:rsidRDefault="004E5D67">
      <w:pPr>
        <w:pStyle w:val="TOC1"/>
        <w:tabs>
          <w:tab w:val="right" w:leader="dot" w:pos="9060"/>
        </w:tabs>
        <w:rPr>
          <w:rFonts w:eastAsiaTheme="minorEastAsia" w:cstheme="minorBidi"/>
          <w:b w:val="0"/>
          <w:bCs w:val="0"/>
          <w:caps w:val="0"/>
          <w:noProof/>
          <w:sz w:val="22"/>
          <w:szCs w:val="22"/>
          <w:lang w:val="en-NZ" w:eastAsia="en-NZ" w:bidi="ar-SA"/>
        </w:rPr>
      </w:pPr>
      <w:r w:rsidRPr="004E5D67">
        <w:rPr>
          <w:rFonts w:cs="Arial"/>
        </w:rPr>
        <w:fldChar w:fldCharType="begin"/>
      </w:r>
      <w:r w:rsidRPr="004E5D67">
        <w:rPr>
          <w:rFonts w:cs="Arial"/>
        </w:rPr>
        <w:instrText xml:space="preserve"> TOC \o "1-3" \h \z </w:instrText>
      </w:r>
      <w:r w:rsidRPr="004E5D67">
        <w:rPr>
          <w:rFonts w:cs="Arial"/>
        </w:rPr>
        <w:fldChar w:fldCharType="separate"/>
      </w:r>
      <w:hyperlink w:anchor="_Toc401143906" w:history="1">
        <w:r w:rsidR="003519F6" w:rsidRPr="00073E4B">
          <w:rPr>
            <w:rStyle w:val="Hyperlink"/>
            <w:noProof/>
          </w:rPr>
          <w:t>Executive summary</w:t>
        </w:r>
        <w:r w:rsidR="003519F6">
          <w:rPr>
            <w:noProof/>
            <w:webHidden/>
          </w:rPr>
          <w:tab/>
        </w:r>
        <w:r w:rsidR="003519F6">
          <w:rPr>
            <w:noProof/>
            <w:webHidden/>
          </w:rPr>
          <w:fldChar w:fldCharType="begin"/>
        </w:r>
        <w:r w:rsidR="003519F6">
          <w:rPr>
            <w:noProof/>
            <w:webHidden/>
          </w:rPr>
          <w:instrText xml:space="preserve"> PAGEREF _Toc401143906 \h </w:instrText>
        </w:r>
        <w:r w:rsidR="003519F6">
          <w:rPr>
            <w:noProof/>
            <w:webHidden/>
          </w:rPr>
        </w:r>
        <w:r w:rsidR="003519F6">
          <w:rPr>
            <w:noProof/>
            <w:webHidden/>
          </w:rPr>
          <w:fldChar w:fldCharType="separate"/>
        </w:r>
        <w:r w:rsidR="00680F3A">
          <w:rPr>
            <w:noProof/>
            <w:webHidden/>
          </w:rPr>
          <w:t>i</w:t>
        </w:r>
        <w:r w:rsidR="003519F6">
          <w:rPr>
            <w:noProof/>
            <w:webHidden/>
          </w:rPr>
          <w:fldChar w:fldCharType="end"/>
        </w:r>
      </w:hyperlink>
    </w:p>
    <w:p w:rsidR="003519F6" w:rsidRDefault="00CC28A5">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401143907" w:history="1">
        <w:r w:rsidR="003519F6" w:rsidRPr="00073E4B">
          <w:rPr>
            <w:rStyle w:val="Hyperlink"/>
            <w:noProof/>
          </w:rPr>
          <w:t>1.</w:t>
        </w:r>
        <w:r w:rsidR="003519F6">
          <w:rPr>
            <w:rFonts w:eastAsiaTheme="minorEastAsia" w:cstheme="minorBidi"/>
            <w:b w:val="0"/>
            <w:bCs w:val="0"/>
            <w:caps w:val="0"/>
            <w:noProof/>
            <w:sz w:val="22"/>
            <w:szCs w:val="22"/>
            <w:lang w:val="en-NZ" w:eastAsia="en-NZ" w:bidi="ar-SA"/>
          </w:rPr>
          <w:tab/>
        </w:r>
        <w:r w:rsidR="003519F6" w:rsidRPr="00073E4B">
          <w:rPr>
            <w:rStyle w:val="Hyperlink"/>
            <w:noProof/>
          </w:rPr>
          <w:t>Introduction</w:t>
        </w:r>
        <w:r w:rsidR="003519F6">
          <w:rPr>
            <w:noProof/>
            <w:webHidden/>
          </w:rPr>
          <w:tab/>
        </w:r>
        <w:r w:rsidR="003519F6">
          <w:rPr>
            <w:noProof/>
            <w:webHidden/>
          </w:rPr>
          <w:fldChar w:fldCharType="begin"/>
        </w:r>
        <w:r w:rsidR="003519F6">
          <w:rPr>
            <w:noProof/>
            <w:webHidden/>
          </w:rPr>
          <w:instrText xml:space="preserve"> PAGEREF _Toc401143907 \h </w:instrText>
        </w:r>
        <w:r w:rsidR="003519F6">
          <w:rPr>
            <w:noProof/>
            <w:webHidden/>
          </w:rPr>
        </w:r>
        <w:r w:rsidR="003519F6">
          <w:rPr>
            <w:noProof/>
            <w:webHidden/>
          </w:rPr>
          <w:fldChar w:fldCharType="separate"/>
        </w:r>
        <w:r w:rsidR="00680F3A">
          <w:rPr>
            <w:noProof/>
            <w:webHidden/>
          </w:rPr>
          <w:t>5</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08" w:history="1">
        <w:r w:rsidR="003519F6" w:rsidRPr="00073E4B">
          <w:rPr>
            <w:rStyle w:val="Hyperlink"/>
            <w:noProof/>
          </w:rPr>
          <w:t>1.1</w:t>
        </w:r>
        <w:r w:rsidR="003519F6">
          <w:rPr>
            <w:rFonts w:eastAsiaTheme="minorEastAsia" w:cstheme="minorBidi"/>
            <w:smallCaps w:val="0"/>
            <w:noProof/>
            <w:sz w:val="22"/>
            <w:szCs w:val="22"/>
            <w:lang w:val="en-NZ" w:eastAsia="en-NZ" w:bidi="ar-SA"/>
          </w:rPr>
          <w:tab/>
        </w:r>
        <w:r w:rsidR="003519F6" w:rsidRPr="00073E4B">
          <w:rPr>
            <w:rStyle w:val="Hyperlink"/>
            <w:noProof/>
          </w:rPr>
          <w:t>Background</w:t>
        </w:r>
        <w:r w:rsidR="003519F6">
          <w:rPr>
            <w:noProof/>
            <w:webHidden/>
          </w:rPr>
          <w:tab/>
        </w:r>
        <w:r w:rsidR="003519F6">
          <w:rPr>
            <w:noProof/>
            <w:webHidden/>
          </w:rPr>
          <w:fldChar w:fldCharType="begin"/>
        </w:r>
        <w:r w:rsidR="003519F6">
          <w:rPr>
            <w:noProof/>
            <w:webHidden/>
          </w:rPr>
          <w:instrText xml:space="preserve"> PAGEREF _Toc401143908 \h </w:instrText>
        </w:r>
        <w:r w:rsidR="003519F6">
          <w:rPr>
            <w:noProof/>
            <w:webHidden/>
          </w:rPr>
        </w:r>
        <w:r w:rsidR="003519F6">
          <w:rPr>
            <w:noProof/>
            <w:webHidden/>
          </w:rPr>
          <w:fldChar w:fldCharType="separate"/>
        </w:r>
        <w:r w:rsidR="00680F3A">
          <w:rPr>
            <w:noProof/>
            <w:webHidden/>
          </w:rPr>
          <w:t>5</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09" w:history="1">
        <w:r w:rsidR="003519F6" w:rsidRPr="00073E4B">
          <w:rPr>
            <w:rStyle w:val="Hyperlink"/>
            <w:noProof/>
          </w:rPr>
          <w:t>1.2</w:t>
        </w:r>
        <w:r w:rsidR="003519F6">
          <w:rPr>
            <w:rFonts w:eastAsiaTheme="minorEastAsia" w:cstheme="minorBidi"/>
            <w:smallCaps w:val="0"/>
            <w:noProof/>
            <w:sz w:val="22"/>
            <w:szCs w:val="22"/>
            <w:lang w:val="en-NZ" w:eastAsia="en-NZ" w:bidi="ar-SA"/>
          </w:rPr>
          <w:tab/>
        </w:r>
        <w:r w:rsidR="003519F6" w:rsidRPr="00073E4B">
          <w:rPr>
            <w:rStyle w:val="Hyperlink"/>
            <w:noProof/>
          </w:rPr>
          <w:t>Risk assessment context</w:t>
        </w:r>
        <w:r w:rsidR="003519F6">
          <w:rPr>
            <w:noProof/>
            <w:webHidden/>
          </w:rPr>
          <w:tab/>
        </w:r>
        <w:r w:rsidR="003519F6">
          <w:rPr>
            <w:noProof/>
            <w:webHidden/>
          </w:rPr>
          <w:fldChar w:fldCharType="begin"/>
        </w:r>
        <w:r w:rsidR="003519F6">
          <w:rPr>
            <w:noProof/>
            <w:webHidden/>
          </w:rPr>
          <w:instrText xml:space="preserve"> PAGEREF _Toc401143909 \h </w:instrText>
        </w:r>
        <w:r w:rsidR="003519F6">
          <w:rPr>
            <w:noProof/>
            <w:webHidden/>
          </w:rPr>
        </w:r>
        <w:r w:rsidR="003519F6">
          <w:rPr>
            <w:noProof/>
            <w:webHidden/>
          </w:rPr>
          <w:fldChar w:fldCharType="separate"/>
        </w:r>
        <w:r w:rsidR="00680F3A">
          <w:rPr>
            <w:noProof/>
            <w:webHidden/>
          </w:rPr>
          <w:t>5</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10" w:history="1">
        <w:r w:rsidR="003519F6" w:rsidRPr="00073E4B">
          <w:rPr>
            <w:rStyle w:val="Hyperlink"/>
            <w:rFonts w:eastAsiaTheme="majorEastAsia"/>
            <w:noProof/>
            <w:lang w:val="en-AU"/>
          </w:rPr>
          <w:t>1.3</w:t>
        </w:r>
        <w:r w:rsidR="003519F6">
          <w:rPr>
            <w:rFonts w:eastAsiaTheme="minorEastAsia" w:cstheme="minorBidi"/>
            <w:smallCaps w:val="0"/>
            <w:noProof/>
            <w:sz w:val="22"/>
            <w:szCs w:val="22"/>
            <w:lang w:val="en-NZ" w:eastAsia="en-NZ" w:bidi="ar-SA"/>
          </w:rPr>
          <w:tab/>
        </w:r>
        <w:r w:rsidR="003519F6" w:rsidRPr="00073E4B">
          <w:rPr>
            <w:rStyle w:val="Hyperlink"/>
            <w:rFonts w:eastAsiaTheme="majorEastAsia"/>
            <w:noProof/>
            <w:lang w:val="en-AU"/>
          </w:rPr>
          <w:t>Risk assessment questions</w:t>
        </w:r>
        <w:r w:rsidR="003519F6">
          <w:rPr>
            <w:noProof/>
            <w:webHidden/>
          </w:rPr>
          <w:tab/>
        </w:r>
        <w:r w:rsidR="003519F6">
          <w:rPr>
            <w:noProof/>
            <w:webHidden/>
          </w:rPr>
          <w:fldChar w:fldCharType="begin"/>
        </w:r>
        <w:r w:rsidR="003519F6">
          <w:rPr>
            <w:noProof/>
            <w:webHidden/>
          </w:rPr>
          <w:instrText xml:space="preserve"> PAGEREF _Toc401143910 \h </w:instrText>
        </w:r>
        <w:r w:rsidR="003519F6">
          <w:rPr>
            <w:noProof/>
            <w:webHidden/>
          </w:rPr>
        </w:r>
        <w:r w:rsidR="003519F6">
          <w:rPr>
            <w:noProof/>
            <w:webHidden/>
          </w:rPr>
          <w:fldChar w:fldCharType="separate"/>
        </w:r>
        <w:r w:rsidR="00680F3A">
          <w:rPr>
            <w:noProof/>
            <w:webHidden/>
          </w:rPr>
          <w:t>5</w:t>
        </w:r>
        <w:r w:rsidR="003519F6">
          <w:rPr>
            <w:noProof/>
            <w:webHidden/>
          </w:rPr>
          <w:fldChar w:fldCharType="end"/>
        </w:r>
      </w:hyperlink>
    </w:p>
    <w:p w:rsidR="003519F6" w:rsidRDefault="00CC28A5">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401143911" w:history="1">
        <w:r w:rsidR="003519F6" w:rsidRPr="00073E4B">
          <w:rPr>
            <w:rStyle w:val="Hyperlink"/>
            <w:noProof/>
          </w:rPr>
          <w:t>2.</w:t>
        </w:r>
        <w:r w:rsidR="003519F6">
          <w:rPr>
            <w:rFonts w:eastAsiaTheme="minorEastAsia" w:cstheme="minorBidi"/>
            <w:b w:val="0"/>
            <w:bCs w:val="0"/>
            <w:caps w:val="0"/>
            <w:noProof/>
            <w:sz w:val="22"/>
            <w:szCs w:val="22"/>
            <w:lang w:val="en-NZ" w:eastAsia="en-NZ" w:bidi="ar-SA"/>
          </w:rPr>
          <w:tab/>
        </w:r>
        <w:r w:rsidR="003519F6" w:rsidRPr="00073E4B">
          <w:rPr>
            <w:rStyle w:val="Hyperlink"/>
            <w:noProof/>
          </w:rPr>
          <w:t>Hazard assessment</w:t>
        </w:r>
        <w:r w:rsidR="003519F6">
          <w:rPr>
            <w:noProof/>
            <w:webHidden/>
          </w:rPr>
          <w:tab/>
        </w:r>
        <w:r w:rsidR="003519F6">
          <w:rPr>
            <w:noProof/>
            <w:webHidden/>
          </w:rPr>
          <w:fldChar w:fldCharType="begin"/>
        </w:r>
        <w:r w:rsidR="003519F6">
          <w:rPr>
            <w:noProof/>
            <w:webHidden/>
          </w:rPr>
          <w:instrText xml:space="preserve"> PAGEREF _Toc401143911 \h </w:instrText>
        </w:r>
        <w:r w:rsidR="003519F6">
          <w:rPr>
            <w:noProof/>
            <w:webHidden/>
          </w:rPr>
        </w:r>
        <w:r w:rsidR="003519F6">
          <w:rPr>
            <w:noProof/>
            <w:webHidden/>
          </w:rPr>
          <w:fldChar w:fldCharType="separate"/>
        </w:r>
        <w:r w:rsidR="00680F3A">
          <w:rPr>
            <w:noProof/>
            <w:webHidden/>
          </w:rPr>
          <w:t>5</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12" w:history="1">
        <w:r w:rsidR="003519F6" w:rsidRPr="00073E4B">
          <w:rPr>
            <w:rStyle w:val="Hyperlink"/>
            <w:rFonts w:eastAsiaTheme="majorEastAsia"/>
            <w:noProof/>
            <w:lang w:val="en-AU"/>
          </w:rPr>
          <w:t>2.1</w:t>
        </w:r>
        <w:r w:rsidR="003519F6">
          <w:rPr>
            <w:rFonts w:eastAsiaTheme="minorEastAsia" w:cstheme="minorBidi"/>
            <w:smallCaps w:val="0"/>
            <w:noProof/>
            <w:sz w:val="22"/>
            <w:szCs w:val="22"/>
            <w:lang w:val="en-NZ" w:eastAsia="en-NZ" w:bidi="ar-SA"/>
          </w:rPr>
          <w:tab/>
        </w:r>
        <w:r w:rsidR="003519F6" w:rsidRPr="00073E4B">
          <w:rPr>
            <w:rStyle w:val="Hyperlink"/>
            <w:rFonts w:eastAsiaTheme="majorEastAsia"/>
            <w:noProof/>
            <w:lang w:val="en-AU"/>
          </w:rPr>
          <w:t>Background</w:t>
        </w:r>
        <w:r w:rsidR="003519F6">
          <w:rPr>
            <w:noProof/>
            <w:webHidden/>
          </w:rPr>
          <w:tab/>
        </w:r>
        <w:r w:rsidR="003519F6">
          <w:rPr>
            <w:noProof/>
            <w:webHidden/>
          </w:rPr>
          <w:fldChar w:fldCharType="begin"/>
        </w:r>
        <w:r w:rsidR="003519F6">
          <w:rPr>
            <w:noProof/>
            <w:webHidden/>
          </w:rPr>
          <w:instrText xml:space="preserve"> PAGEREF _Toc401143912 \h </w:instrText>
        </w:r>
        <w:r w:rsidR="003519F6">
          <w:rPr>
            <w:noProof/>
            <w:webHidden/>
          </w:rPr>
        </w:r>
        <w:r w:rsidR="003519F6">
          <w:rPr>
            <w:noProof/>
            <w:webHidden/>
          </w:rPr>
          <w:fldChar w:fldCharType="separate"/>
        </w:r>
        <w:r w:rsidR="00680F3A">
          <w:rPr>
            <w:noProof/>
            <w:webHidden/>
          </w:rPr>
          <w:t>5</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13" w:history="1">
        <w:r w:rsidR="003519F6" w:rsidRPr="00073E4B">
          <w:rPr>
            <w:rStyle w:val="Hyperlink"/>
            <w:noProof/>
          </w:rPr>
          <w:t>2.1.1</w:t>
        </w:r>
        <w:r w:rsidR="003519F6">
          <w:rPr>
            <w:rFonts w:eastAsiaTheme="minorEastAsia" w:cstheme="minorBidi"/>
            <w:i w:val="0"/>
            <w:iCs w:val="0"/>
            <w:noProof/>
            <w:sz w:val="22"/>
            <w:szCs w:val="22"/>
            <w:lang w:val="en-NZ" w:eastAsia="en-NZ" w:bidi="ar-SA"/>
          </w:rPr>
          <w:tab/>
        </w:r>
        <w:r w:rsidR="003519F6" w:rsidRPr="00073E4B">
          <w:rPr>
            <w:rStyle w:val="Hyperlink"/>
            <w:noProof/>
          </w:rPr>
          <w:t>Assessments by other agencies</w:t>
        </w:r>
        <w:r w:rsidR="003519F6">
          <w:rPr>
            <w:noProof/>
            <w:webHidden/>
          </w:rPr>
          <w:tab/>
        </w:r>
        <w:r w:rsidR="003519F6">
          <w:rPr>
            <w:noProof/>
            <w:webHidden/>
          </w:rPr>
          <w:fldChar w:fldCharType="begin"/>
        </w:r>
        <w:r w:rsidR="003519F6">
          <w:rPr>
            <w:noProof/>
            <w:webHidden/>
          </w:rPr>
          <w:instrText xml:space="preserve"> PAGEREF _Toc401143913 \h </w:instrText>
        </w:r>
        <w:r w:rsidR="003519F6">
          <w:rPr>
            <w:noProof/>
            <w:webHidden/>
          </w:rPr>
        </w:r>
        <w:r w:rsidR="003519F6">
          <w:rPr>
            <w:noProof/>
            <w:webHidden/>
          </w:rPr>
          <w:fldChar w:fldCharType="separate"/>
        </w:r>
        <w:r w:rsidR="00680F3A">
          <w:rPr>
            <w:noProof/>
            <w:webHidden/>
          </w:rPr>
          <w:t>6</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14" w:history="1">
        <w:r w:rsidR="003519F6" w:rsidRPr="00073E4B">
          <w:rPr>
            <w:rStyle w:val="Hyperlink"/>
            <w:noProof/>
          </w:rPr>
          <w:t>2.1.2</w:t>
        </w:r>
        <w:r w:rsidR="003519F6">
          <w:rPr>
            <w:rFonts w:eastAsiaTheme="minorEastAsia" w:cstheme="minorBidi"/>
            <w:i w:val="0"/>
            <w:iCs w:val="0"/>
            <w:noProof/>
            <w:sz w:val="22"/>
            <w:szCs w:val="22"/>
            <w:lang w:val="en-NZ" w:eastAsia="en-NZ" w:bidi="ar-SA"/>
          </w:rPr>
          <w:tab/>
        </w:r>
        <w:r w:rsidR="003519F6" w:rsidRPr="00073E4B">
          <w:rPr>
            <w:rStyle w:val="Hyperlink"/>
            <w:noProof/>
          </w:rPr>
          <w:t>Chemistry</w:t>
        </w:r>
        <w:r w:rsidR="003519F6">
          <w:rPr>
            <w:noProof/>
            <w:webHidden/>
          </w:rPr>
          <w:tab/>
        </w:r>
        <w:r w:rsidR="003519F6">
          <w:rPr>
            <w:noProof/>
            <w:webHidden/>
          </w:rPr>
          <w:fldChar w:fldCharType="begin"/>
        </w:r>
        <w:r w:rsidR="003519F6">
          <w:rPr>
            <w:noProof/>
            <w:webHidden/>
          </w:rPr>
          <w:instrText xml:space="preserve"> PAGEREF _Toc401143914 \h </w:instrText>
        </w:r>
        <w:r w:rsidR="003519F6">
          <w:rPr>
            <w:noProof/>
            <w:webHidden/>
          </w:rPr>
        </w:r>
        <w:r w:rsidR="003519F6">
          <w:rPr>
            <w:noProof/>
            <w:webHidden/>
          </w:rPr>
          <w:fldChar w:fldCharType="separate"/>
        </w:r>
        <w:r w:rsidR="00680F3A">
          <w:rPr>
            <w:noProof/>
            <w:webHidden/>
          </w:rPr>
          <w:t>7</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15" w:history="1">
        <w:r w:rsidR="003519F6" w:rsidRPr="00073E4B">
          <w:rPr>
            <w:rStyle w:val="Hyperlink"/>
            <w:noProof/>
          </w:rPr>
          <w:t>2.1.3</w:t>
        </w:r>
        <w:r w:rsidR="003519F6">
          <w:rPr>
            <w:rFonts w:eastAsiaTheme="minorEastAsia" w:cstheme="minorBidi"/>
            <w:i w:val="0"/>
            <w:iCs w:val="0"/>
            <w:noProof/>
            <w:sz w:val="22"/>
            <w:szCs w:val="22"/>
            <w:lang w:val="en-NZ" w:eastAsia="en-NZ" w:bidi="ar-SA"/>
          </w:rPr>
          <w:tab/>
        </w:r>
        <w:r w:rsidR="003519F6" w:rsidRPr="00073E4B">
          <w:rPr>
            <w:rStyle w:val="Hyperlink"/>
            <w:noProof/>
          </w:rPr>
          <w:t>Scope of the hazard assessment</w:t>
        </w:r>
        <w:r w:rsidR="003519F6">
          <w:rPr>
            <w:noProof/>
            <w:webHidden/>
          </w:rPr>
          <w:tab/>
        </w:r>
        <w:r w:rsidR="003519F6">
          <w:rPr>
            <w:noProof/>
            <w:webHidden/>
          </w:rPr>
          <w:fldChar w:fldCharType="begin"/>
        </w:r>
        <w:r w:rsidR="003519F6">
          <w:rPr>
            <w:noProof/>
            <w:webHidden/>
          </w:rPr>
          <w:instrText xml:space="preserve"> PAGEREF _Toc401143915 \h </w:instrText>
        </w:r>
        <w:r w:rsidR="003519F6">
          <w:rPr>
            <w:noProof/>
            <w:webHidden/>
          </w:rPr>
        </w:r>
        <w:r w:rsidR="003519F6">
          <w:rPr>
            <w:noProof/>
            <w:webHidden/>
          </w:rPr>
          <w:fldChar w:fldCharType="separate"/>
        </w:r>
        <w:r w:rsidR="00680F3A">
          <w:rPr>
            <w:noProof/>
            <w:webHidden/>
          </w:rPr>
          <w:t>7</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16" w:history="1">
        <w:r w:rsidR="003519F6" w:rsidRPr="00073E4B">
          <w:rPr>
            <w:rStyle w:val="Hyperlink"/>
            <w:rFonts w:eastAsiaTheme="majorEastAsia"/>
            <w:noProof/>
            <w:lang w:val="en-AU"/>
          </w:rPr>
          <w:t>2.2</w:t>
        </w:r>
        <w:r w:rsidR="003519F6">
          <w:rPr>
            <w:rFonts w:eastAsiaTheme="minorEastAsia" w:cstheme="minorBidi"/>
            <w:smallCaps w:val="0"/>
            <w:noProof/>
            <w:sz w:val="22"/>
            <w:szCs w:val="22"/>
            <w:lang w:val="en-NZ" w:eastAsia="en-NZ" w:bidi="ar-SA"/>
          </w:rPr>
          <w:tab/>
        </w:r>
        <w:r w:rsidR="003519F6" w:rsidRPr="00073E4B">
          <w:rPr>
            <w:rStyle w:val="Hyperlink"/>
            <w:rFonts w:eastAsiaTheme="majorEastAsia"/>
            <w:noProof/>
            <w:lang w:val="en-AU"/>
          </w:rPr>
          <w:t xml:space="preserve"> Evaluation of data</w:t>
        </w:r>
        <w:r w:rsidR="003519F6">
          <w:rPr>
            <w:noProof/>
            <w:webHidden/>
          </w:rPr>
          <w:tab/>
        </w:r>
        <w:r w:rsidR="003519F6">
          <w:rPr>
            <w:noProof/>
            <w:webHidden/>
          </w:rPr>
          <w:fldChar w:fldCharType="begin"/>
        </w:r>
        <w:r w:rsidR="003519F6">
          <w:rPr>
            <w:noProof/>
            <w:webHidden/>
          </w:rPr>
          <w:instrText xml:space="preserve"> PAGEREF _Toc401143916 \h </w:instrText>
        </w:r>
        <w:r w:rsidR="003519F6">
          <w:rPr>
            <w:noProof/>
            <w:webHidden/>
          </w:rPr>
        </w:r>
        <w:r w:rsidR="003519F6">
          <w:rPr>
            <w:noProof/>
            <w:webHidden/>
          </w:rPr>
          <w:fldChar w:fldCharType="separate"/>
        </w:r>
        <w:r w:rsidR="00680F3A">
          <w:rPr>
            <w:noProof/>
            <w:webHidden/>
          </w:rPr>
          <w:t>7</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17" w:history="1">
        <w:r w:rsidR="003519F6" w:rsidRPr="00073E4B">
          <w:rPr>
            <w:rStyle w:val="Hyperlink"/>
            <w:noProof/>
          </w:rPr>
          <w:t>2.2.1</w:t>
        </w:r>
        <w:r w:rsidR="003519F6">
          <w:rPr>
            <w:rFonts w:eastAsiaTheme="minorEastAsia" w:cstheme="minorBidi"/>
            <w:i w:val="0"/>
            <w:iCs w:val="0"/>
            <w:noProof/>
            <w:sz w:val="22"/>
            <w:szCs w:val="22"/>
            <w:lang w:val="en-NZ" w:eastAsia="en-NZ" w:bidi="ar-SA"/>
          </w:rPr>
          <w:tab/>
        </w:r>
        <w:r w:rsidR="003519F6" w:rsidRPr="00073E4B">
          <w:rPr>
            <w:rStyle w:val="Hyperlink"/>
            <w:noProof/>
          </w:rPr>
          <w:t>Biochemistry and pharmacology</w:t>
        </w:r>
        <w:r w:rsidR="003519F6">
          <w:rPr>
            <w:noProof/>
            <w:webHidden/>
          </w:rPr>
          <w:tab/>
        </w:r>
        <w:r w:rsidR="003519F6">
          <w:rPr>
            <w:noProof/>
            <w:webHidden/>
          </w:rPr>
          <w:fldChar w:fldCharType="begin"/>
        </w:r>
        <w:r w:rsidR="003519F6">
          <w:rPr>
            <w:noProof/>
            <w:webHidden/>
          </w:rPr>
          <w:instrText xml:space="preserve"> PAGEREF _Toc401143917 \h </w:instrText>
        </w:r>
        <w:r w:rsidR="003519F6">
          <w:rPr>
            <w:noProof/>
            <w:webHidden/>
          </w:rPr>
        </w:r>
        <w:r w:rsidR="003519F6">
          <w:rPr>
            <w:noProof/>
            <w:webHidden/>
          </w:rPr>
          <w:fldChar w:fldCharType="separate"/>
        </w:r>
        <w:r w:rsidR="00680F3A">
          <w:rPr>
            <w:noProof/>
            <w:webHidden/>
          </w:rPr>
          <w:t>7</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18" w:history="1">
        <w:r w:rsidR="003519F6" w:rsidRPr="00073E4B">
          <w:rPr>
            <w:rStyle w:val="Hyperlink"/>
            <w:noProof/>
          </w:rPr>
          <w:t>2.2.2</w:t>
        </w:r>
        <w:r w:rsidR="003519F6">
          <w:rPr>
            <w:rFonts w:eastAsiaTheme="minorEastAsia" w:cstheme="minorBidi"/>
            <w:i w:val="0"/>
            <w:iCs w:val="0"/>
            <w:noProof/>
            <w:sz w:val="22"/>
            <w:szCs w:val="22"/>
            <w:lang w:val="en-NZ" w:eastAsia="en-NZ" w:bidi="ar-SA"/>
          </w:rPr>
          <w:tab/>
        </w:r>
        <w:r w:rsidR="003519F6" w:rsidRPr="00073E4B">
          <w:rPr>
            <w:rStyle w:val="Hyperlink"/>
            <w:noProof/>
          </w:rPr>
          <w:t>Absorption, distribution, metabolism and excretion</w:t>
        </w:r>
        <w:r w:rsidR="003519F6">
          <w:rPr>
            <w:noProof/>
            <w:webHidden/>
          </w:rPr>
          <w:tab/>
        </w:r>
        <w:r w:rsidR="003519F6">
          <w:rPr>
            <w:noProof/>
            <w:webHidden/>
          </w:rPr>
          <w:fldChar w:fldCharType="begin"/>
        </w:r>
        <w:r w:rsidR="003519F6">
          <w:rPr>
            <w:noProof/>
            <w:webHidden/>
          </w:rPr>
          <w:instrText xml:space="preserve"> PAGEREF _Toc401143918 \h </w:instrText>
        </w:r>
        <w:r w:rsidR="003519F6">
          <w:rPr>
            <w:noProof/>
            <w:webHidden/>
          </w:rPr>
        </w:r>
        <w:r w:rsidR="003519F6">
          <w:rPr>
            <w:noProof/>
            <w:webHidden/>
          </w:rPr>
          <w:fldChar w:fldCharType="separate"/>
        </w:r>
        <w:r w:rsidR="00680F3A">
          <w:rPr>
            <w:noProof/>
            <w:webHidden/>
          </w:rPr>
          <w:t>8</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19" w:history="1">
        <w:r w:rsidR="003519F6" w:rsidRPr="00073E4B">
          <w:rPr>
            <w:rStyle w:val="Hyperlink"/>
            <w:noProof/>
          </w:rPr>
          <w:t>2.2.3</w:t>
        </w:r>
        <w:r w:rsidR="003519F6">
          <w:rPr>
            <w:rFonts w:eastAsiaTheme="minorEastAsia" w:cstheme="minorBidi"/>
            <w:i w:val="0"/>
            <w:iCs w:val="0"/>
            <w:noProof/>
            <w:sz w:val="22"/>
            <w:szCs w:val="22"/>
            <w:lang w:val="en-NZ" w:eastAsia="en-NZ" w:bidi="ar-SA"/>
          </w:rPr>
          <w:tab/>
        </w:r>
        <w:r w:rsidR="003519F6" w:rsidRPr="00073E4B">
          <w:rPr>
            <w:rStyle w:val="Hyperlink"/>
            <w:noProof/>
          </w:rPr>
          <w:t>Acute toxicity</w:t>
        </w:r>
        <w:r w:rsidR="003519F6">
          <w:rPr>
            <w:noProof/>
            <w:webHidden/>
          </w:rPr>
          <w:tab/>
        </w:r>
        <w:r w:rsidR="003519F6">
          <w:rPr>
            <w:noProof/>
            <w:webHidden/>
          </w:rPr>
          <w:fldChar w:fldCharType="begin"/>
        </w:r>
        <w:r w:rsidR="003519F6">
          <w:rPr>
            <w:noProof/>
            <w:webHidden/>
          </w:rPr>
          <w:instrText xml:space="preserve"> PAGEREF _Toc401143919 \h </w:instrText>
        </w:r>
        <w:r w:rsidR="003519F6">
          <w:rPr>
            <w:noProof/>
            <w:webHidden/>
          </w:rPr>
        </w:r>
        <w:r w:rsidR="003519F6">
          <w:rPr>
            <w:noProof/>
            <w:webHidden/>
          </w:rPr>
          <w:fldChar w:fldCharType="separate"/>
        </w:r>
        <w:r w:rsidR="00680F3A">
          <w:rPr>
            <w:noProof/>
            <w:webHidden/>
          </w:rPr>
          <w:t>14</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20" w:history="1">
        <w:r w:rsidR="003519F6" w:rsidRPr="00073E4B">
          <w:rPr>
            <w:rStyle w:val="Hyperlink"/>
            <w:noProof/>
          </w:rPr>
          <w:t>2.2.4</w:t>
        </w:r>
        <w:r w:rsidR="003519F6">
          <w:rPr>
            <w:rFonts w:eastAsiaTheme="minorEastAsia" w:cstheme="minorBidi"/>
            <w:i w:val="0"/>
            <w:iCs w:val="0"/>
            <w:noProof/>
            <w:sz w:val="22"/>
            <w:szCs w:val="22"/>
            <w:lang w:val="en-NZ" w:eastAsia="en-NZ" w:bidi="ar-SA"/>
          </w:rPr>
          <w:tab/>
        </w:r>
        <w:r w:rsidR="003519F6" w:rsidRPr="00073E4B">
          <w:rPr>
            <w:rStyle w:val="Hyperlink"/>
            <w:noProof/>
          </w:rPr>
          <w:t>Short-term repeat-dose toxicity studies</w:t>
        </w:r>
        <w:r w:rsidR="003519F6">
          <w:rPr>
            <w:noProof/>
            <w:webHidden/>
          </w:rPr>
          <w:tab/>
        </w:r>
        <w:r w:rsidR="003519F6">
          <w:rPr>
            <w:noProof/>
            <w:webHidden/>
          </w:rPr>
          <w:fldChar w:fldCharType="begin"/>
        </w:r>
        <w:r w:rsidR="003519F6">
          <w:rPr>
            <w:noProof/>
            <w:webHidden/>
          </w:rPr>
          <w:instrText xml:space="preserve"> PAGEREF _Toc401143920 \h </w:instrText>
        </w:r>
        <w:r w:rsidR="003519F6">
          <w:rPr>
            <w:noProof/>
            <w:webHidden/>
          </w:rPr>
        </w:r>
        <w:r w:rsidR="003519F6">
          <w:rPr>
            <w:noProof/>
            <w:webHidden/>
          </w:rPr>
          <w:fldChar w:fldCharType="separate"/>
        </w:r>
        <w:r w:rsidR="00680F3A">
          <w:rPr>
            <w:noProof/>
            <w:webHidden/>
          </w:rPr>
          <w:t>16</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21" w:history="1">
        <w:r w:rsidR="003519F6" w:rsidRPr="00073E4B">
          <w:rPr>
            <w:rStyle w:val="Hyperlink"/>
            <w:noProof/>
          </w:rPr>
          <w:t>2.2.5</w:t>
        </w:r>
        <w:r w:rsidR="003519F6">
          <w:rPr>
            <w:rFonts w:eastAsiaTheme="minorEastAsia" w:cstheme="minorBidi"/>
            <w:i w:val="0"/>
            <w:iCs w:val="0"/>
            <w:noProof/>
            <w:sz w:val="22"/>
            <w:szCs w:val="22"/>
            <w:lang w:val="en-NZ" w:eastAsia="en-NZ" w:bidi="ar-SA"/>
          </w:rPr>
          <w:tab/>
        </w:r>
        <w:r w:rsidR="003519F6" w:rsidRPr="00073E4B">
          <w:rPr>
            <w:rStyle w:val="Hyperlink"/>
            <w:noProof/>
          </w:rPr>
          <w:t>Sub-chronic toxicity studies</w:t>
        </w:r>
        <w:r w:rsidR="003519F6">
          <w:rPr>
            <w:noProof/>
            <w:webHidden/>
          </w:rPr>
          <w:tab/>
        </w:r>
        <w:r w:rsidR="003519F6">
          <w:rPr>
            <w:noProof/>
            <w:webHidden/>
          </w:rPr>
          <w:fldChar w:fldCharType="begin"/>
        </w:r>
        <w:r w:rsidR="003519F6">
          <w:rPr>
            <w:noProof/>
            <w:webHidden/>
          </w:rPr>
          <w:instrText xml:space="preserve"> PAGEREF _Toc401143921 \h </w:instrText>
        </w:r>
        <w:r w:rsidR="003519F6">
          <w:rPr>
            <w:noProof/>
            <w:webHidden/>
          </w:rPr>
        </w:r>
        <w:r w:rsidR="003519F6">
          <w:rPr>
            <w:noProof/>
            <w:webHidden/>
          </w:rPr>
          <w:fldChar w:fldCharType="separate"/>
        </w:r>
        <w:r w:rsidR="00680F3A">
          <w:rPr>
            <w:noProof/>
            <w:webHidden/>
          </w:rPr>
          <w:t>17</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22" w:history="1">
        <w:r w:rsidR="003519F6" w:rsidRPr="00073E4B">
          <w:rPr>
            <w:rStyle w:val="Hyperlink"/>
            <w:noProof/>
          </w:rPr>
          <w:t>2.2.6</w:t>
        </w:r>
        <w:r w:rsidR="003519F6">
          <w:rPr>
            <w:rFonts w:eastAsiaTheme="minorEastAsia" w:cstheme="minorBidi"/>
            <w:i w:val="0"/>
            <w:iCs w:val="0"/>
            <w:noProof/>
            <w:sz w:val="22"/>
            <w:szCs w:val="22"/>
            <w:lang w:val="en-NZ" w:eastAsia="en-NZ" w:bidi="ar-SA"/>
          </w:rPr>
          <w:tab/>
        </w:r>
        <w:r w:rsidR="003519F6" w:rsidRPr="00073E4B">
          <w:rPr>
            <w:rStyle w:val="Hyperlink"/>
            <w:noProof/>
          </w:rPr>
          <w:t>Chronic toxicity and carcinogenicity studies</w:t>
        </w:r>
        <w:r w:rsidR="003519F6">
          <w:rPr>
            <w:noProof/>
            <w:webHidden/>
          </w:rPr>
          <w:tab/>
        </w:r>
        <w:r w:rsidR="003519F6">
          <w:rPr>
            <w:noProof/>
            <w:webHidden/>
          </w:rPr>
          <w:fldChar w:fldCharType="begin"/>
        </w:r>
        <w:r w:rsidR="003519F6">
          <w:rPr>
            <w:noProof/>
            <w:webHidden/>
          </w:rPr>
          <w:instrText xml:space="preserve"> PAGEREF _Toc401143922 \h </w:instrText>
        </w:r>
        <w:r w:rsidR="003519F6">
          <w:rPr>
            <w:noProof/>
            <w:webHidden/>
          </w:rPr>
        </w:r>
        <w:r w:rsidR="003519F6">
          <w:rPr>
            <w:noProof/>
            <w:webHidden/>
          </w:rPr>
          <w:fldChar w:fldCharType="separate"/>
        </w:r>
        <w:r w:rsidR="00680F3A">
          <w:rPr>
            <w:noProof/>
            <w:webHidden/>
          </w:rPr>
          <w:t>17</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23" w:history="1">
        <w:r w:rsidR="003519F6" w:rsidRPr="00073E4B">
          <w:rPr>
            <w:rStyle w:val="Hyperlink"/>
            <w:noProof/>
          </w:rPr>
          <w:t>2.2.7</w:t>
        </w:r>
        <w:r w:rsidR="003519F6">
          <w:rPr>
            <w:rFonts w:eastAsiaTheme="minorEastAsia" w:cstheme="minorBidi"/>
            <w:i w:val="0"/>
            <w:iCs w:val="0"/>
            <w:noProof/>
            <w:sz w:val="22"/>
            <w:szCs w:val="22"/>
            <w:lang w:val="en-NZ" w:eastAsia="en-NZ" w:bidi="ar-SA"/>
          </w:rPr>
          <w:tab/>
        </w:r>
        <w:r w:rsidR="003519F6" w:rsidRPr="00073E4B">
          <w:rPr>
            <w:rStyle w:val="Hyperlink"/>
            <w:noProof/>
          </w:rPr>
          <w:t>Genotoxicity studies</w:t>
        </w:r>
        <w:r w:rsidR="003519F6">
          <w:rPr>
            <w:noProof/>
            <w:webHidden/>
          </w:rPr>
          <w:tab/>
        </w:r>
        <w:r w:rsidR="003519F6">
          <w:rPr>
            <w:noProof/>
            <w:webHidden/>
          </w:rPr>
          <w:fldChar w:fldCharType="begin"/>
        </w:r>
        <w:r w:rsidR="003519F6">
          <w:rPr>
            <w:noProof/>
            <w:webHidden/>
          </w:rPr>
          <w:instrText xml:space="preserve"> PAGEREF _Toc401143923 \h </w:instrText>
        </w:r>
        <w:r w:rsidR="003519F6">
          <w:rPr>
            <w:noProof/>
            <w:webHidden/>
          </w:rPr>
        </w:r>
        <w:r w:rsidR="003519F6">
          <w:rPr>
            <w:noProof/>
            <w:webHidden/>
          </w:rPr>
          <w:fldChar w:fldCharType="separate"/>
        </w:r>
        <w:r w:rsidR="00680F3A">
          <w:rPr>
            <w:noProof/>
            <w:webHidden/>
          </w:rPr>
          <w:t>18</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24" w:history="1">
        <w:r w:rsidR="003519F6" w:rsidRPr="00073E4B">
          <w:rPr>
            <w:rStyle w:val="Hyperlink"/>
            <w:noProof/>
          </w:rPr>
          <w:t>2.2.8</w:t>
        </w:r>
        <w:r w:rsidR="003519F6">
          <w:rPr>
            <w:rFonts w:eastAsiaTheme="minorEastAsia" w:cstheme="minorBidi"/>
            <w:i w:val="0"/>
            <w:iCs w:val="0"/>
            <w:noProof/>
            <w:sz w:val="22"/>
            <w:szCs w:val="22"/>
            <w:lang w:val="en-NZ" w:eastAsia="en-NZ" w:bidi="ar-SA"/>
          </w:rPr>
          <w:tab/>
        </w:r>
        <w:r w:rsidR="003519F6" w:rsidRPr="00073E4B">
          <w:rPr>
            <w:rStyle w:val="Hyperlink"/>
            <w:noProof/>
          </w:rPr>
          <w:t>Reproductive and developmental toxicity studies</w:t>
        </w:r>
        <w:r w:rsidR="003519F6">
          <w:rPr>
            <w:noProof/>
            <w:webHidden/>
          </w:rPr>
          <w:tab/>
        </w:r>
        <w:r w:rsidR="003519F6">
          <w:rPr>
            <w:noProof/>
            <w:webHidden/>
          </w:rPr>
          <w:fldChar w:fldCharType="begin"/>
        </w:r>
        <w:r w:rsidR="003519F6">
          <w:rPr>
            <w:noProof/>
            <w:webHidden/>
          </w:rPr>
          <w:instrText xml:space="preserve"> PAGEREF _Toc401143924 \h </w:instrText>
        </w:r>
        <w:r w:rsidR="003519F6">
          <w:rPr>
            <w:noProof/>
            <w:webHidden/>
          </w:rPr>
        </w:r>
        <w:r w:rsidR="003519F6">
          <w:rPr>
            <w:noProof/>
            <w:webHidden/>
          </w:rPr>
          <w:fldChar w:fldCharType="separate"/>
        </w:r>
        <w:r w:rsidR="00680F3A">
          <w:rPr>
            <w:noProof/>
            <w:webHidden/>
          </w:rPr>
          <w:t>18</w:t>
        </w:r>
        <w:r w:rsidR="003519F6">
          <w:rPr>
            <w:noProof/>
            <w:webHidden/>
          </w:rPr>
          <w:fldChar w:fldCharType="end"/>
        </w:r>
      </w:hyperlink>
    </w:p>
    <w:p w:rsidR="003519F6" w:rsidRDefault="00CC28A5">
      <w:pPr>
        <w:pStyle w:val="TOC3"/>
        <w:tabs>
          <w:tab w:val="left" w:pos="1100"/>
          <w:tab w:val="right" w:leader="dot" w:pos="9060"/>
        </w:tabs>
        <w:rPr>
          <w:rFonts w:eastAsiaTheme="minorEastAsia" w:cstheme="minorBidi"/>
          <w:i w:val="0"/>
          <w:iCs w:val="0"/>
          <w:noProof/>
          <w:sz w:val="22"/>
          <w:szCs w:val="22"/>
          <w:lang w:val="en-NZ" w:eastAsia="en-NZ" w:bidi="ar-SA"/>
        </w:rPr>
      </w:pPr>
      <w:hyperlink w:anchor="_Toc401143925" w:history="1">
        <w:r w:rsidR="003519F6" w:rsidRPr="00073E4B">
          <w:rPr>
            <w:rStyle w:val="Hyperlink"/>
            <w:noProof/>
          </w:rPr>
          <w:t>2.2.9</w:t>
        </w:r>
        <w:r w:rsidR="003519F6">
          <w:rPr>
            <w:rFonts w:eastAsiaTheme="minorEastAsia" w:cstheme="minorBidi"/>
            <w:i w:val="0"/>
            <w:iCs w:val="0"/>
            <w:noProof/>
            <w:sz w:val="22"/>
            <w:szCs w:val="22"/>
            <w:lang w:val="en-NZ" w:eastAsia="en-NZ" w:bidi="ar-SA"/>
          </w:rPr>
          <w:tab/>
        </w:r>
        <w:r w:rsidR="003519F6" w:rsidRPr="00073E4B">
          <w:rPr>
            <w:rStyle w:val="Hyperlink"/>
            <w:noProof/>
          </w:rPr>
          <w:t>Human data</w:t>
        </w:r>
        <w:r w:rsidR="003519F6">
          <w:rPr>
            <w:noProof/>
            <w:webHidden/>
          </w:rPr>
          <w:tab/>
        </w:r>
        <w:r w:rsidR="003519F6">
          <w:rPr>
            <w:noProof/>
            <w:webHidden/>
          </w:rPr>
          <w:fldChar w:fldCharType="begin"/>
        </w:r>
        <w:r w:rsidR="003519F6">
          <w:rPr>
            <w:noProof/>
            <w:webHidden/>
          </w:rPr>
          <w:instrText xml:space="preserve"> PAGEREF _Toc401143925 \h </w:instrText>
        </w:r>
        <w:r w:rsidR="003519F6">
          <w:rPr>
            <w:noProof/>
            <w:webHidden/>
          </w:rPr>
        </w:r>
        <w:r w:rsidR="003519F6">
          <w:rPr>
            <w:noProof/>
            <w:webHidden/>
          </w:rPr>
          <w:fldChar w:fldCharType="separate"/>
        </w:r>
        <w:r w:rsidR="00680F3A">
          <w:rPr>
            <w:noProof/>
            <w:webHidden/>
          </w:rPr>
          <w:t>18</w:t>
        </w:r>
        <w:r w:rsidR="003519F6">
          <w:rPr>
            <w:noProof/>
            <w:webHidden/>
          </w:rPr>
          <w:fldChar w:fldCharType="end"/>
        </w:r>
      </w:hyperlink>
    </w:p>
    <w:p w:rsidR="003519F6" w:rsidRDefault="00CC28A5">
      <w:pPr>
        <w:pStyle w:val="TOC3"/>
        <w:tabs>
          <w:tab w:val="left" w:pos="1320"/>
          <w:tab w:val="right" w:leader="dot" w:pos="9060"/>
        </w:tabs>
        <w:rPr>
          <w:rFonts w:eastAsiaTheme="minorEastAsia" w:cstheme="minorBidi"/>
          <w:i w:val="0"/>
          <w:iCs w:val="0"/>
          <w:noProof/>
          <w:sz w:val="22"/>
          <w:szCs w:val="22"/>
          <w:lang w:val="en-NZ" w:eastAsia="en-NZ" w:bidi="ar-SA"/>
        </w:rPr>
      </w:pPr>
      <w:hyperlink w:anchor="_Toc401143926" w:history="1">
        <w:r w:rsidR="003519F6" w:rsidRPr="00073E4B">
          <w:rPr>
            <w:rStyle w:val="Hyperlink"/>
            <w:noProof/>
          </w:rPr>
          <w:t>2.2.10</w:t>
        </w:r>
        <w:r w:rsidR="003519F6">
          <w:rPr>
            <w:rFonts w:eastAsiaTheme="minorEastAsia" w:cstheme="minorBidi"/>
            <w:i w:val="0"/>
            <w:iCs w:val="0"/>
            <w:noProof/>
            <w:sz w:val="22"/>
            <w:szCs w:val="22"/>
            <w:lang w:val="en-NZ" w:eastAsia="en-NZ" w:bidi="ar-SA"/>
          </w:rPr>
          <w:tab/>
        </w:r>
        <w:r w:rsidR="003519F6" w:rsidRPr="00073E4B">
          <w:rPr>
            <w:rStyle w:val="Hyperlink"/>
            <w:noProof/>
          </w:rPr>
          <w:t>Hyenanchin</w:t>
        </w:r>
        <w:r w:rsidR="003519F6">
          <w:rPr>
            <w:noProof/>
            <w:webHidden/>
          </w:rPr>
          <w:tab/>
        </w:r>
        <w:r w:rsidR="003519F6">
          <w:rPr>
            <w:noProof/>
            <w:webHidden/>
          </w:rPr>
          <w:fldChar w:fldCharType="begin"/>
        </w:r>
        <w:r w:rsidR="003519F6">
          <w:rPr>
            <w:noProof/>
            <w:webHidden/>
          </w:rPr>
          <w:instrText xml:space="preserve"> PAGEREF _Toc401143926 \h </w:instrText>
        </w:r>
        <w:r w:rsidR="003519F6">
          <w:rPr>
            <w:noProof/>
            <w:webHidden/>
          </w:rPr>
        </w:r>
        <w:r w:rsidR="003519F6">
          <w:rPr>
            <w:noProof/>
            <w:webHidden/>
          </w:rPr>
          <w:fldChar w:fldCharType="separate"/>
        </w:r>
        <w:r w:rsidR="00680F3A">
          <w:rPr>
            <w:noProof/>
            <w:webHidden/>
          </w:rPr>
          <w:t>22</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27" w:history="1">
        <w:r w:rsidR="003519F6" w:rsidRPr="00073E4B">
          <w:rPr>
            <w:rStyle w:val="Hyperlink"/>
            <w:noProof/>
          </w:rPr>
          <w:t>2.3</w:t>
        </w:r>
        <w:r w:rsidR="003519F6">
          <w:rPr>
            <w:rFonts w:eastAsiaTheme="minorEastAsia" w:cstheme="minorBidi"/>
            <w:smallCaps w:val="0"/>
            <w:noProof/>
            <w:sz w:val="22"/>
            <w:szCs w:val="22"/>
            <w:lang w:val="en-NZ" w:eastAsia="en-NZ" w:bidi="ar-SA"/>
          </w:rPr>
          <w:tab/>
        </w:r>
        <w:r w:rsidR="003519F6" w:rsidRPr="00073E4B">
          <w:rPr>
            <w:rStyle w:val="Hyperlink"/>
            <w:noProof/>
          </w:rPr>
          <w:t>Discussion</w:t>
        </w:r>
        <w:r w:rsidR="003519F6">
          <w:rPr>
            <w:noProof/>
            <w:webHidden/>
          </w:rPr>
          <w:tab/>
        </w:r>
        <w:r w:rsidR="003519F6">
          <w:rPr>
            <w:noProof/>
            <w:webHidden/>
          </w:rPr>
          <w:fldChar w:fldCharType="begin"/>
        </w:r>
        <w:r w:rsidR="003519F6">
          <w:rPr>
            <w:noProof/>
            <w:webHidden/>
          </w:rPr>
          <w:instrText xml:space="preserve"> PAGEREF _Toc401143927 \h </w:instrText>
        </w:r>
        <w:r w:rsidR="003519F6">
          <w:rPr>
            <w:noProof/>
            <w:webHidden/>
          </w:rPr>
        </w:r>
        <w:r w:rsidR="003519F6">
          <w:rPr>
            <w:noProof/>
            <w:webHidden/>
          </w:rPr>
          <w:fldChar w:fldCharType="separate"/>
        </w:r>
        <w:r w:rsidR="00680F3A">
          <w:rPr>
            <w:noProof/>
            <w:webHidden/>
          </w:rPr>
          <w:t>24</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28" w:history="1">
        <w:r w:rsidR="003519F6" w:rsidRPr="00073E4B">
          <w:rPr>
            <w:rStyle w:val="Hyperlink"/>
            <w:noProof/>
          </w:rPr>
          <w:t>2.4</w:t>
        </w:r>
        <w:r w:rsidR="003519F6">
          <w:rPr>
            <w:rFonts w:eastAsiaTheme="minorEastAsia" w:cstheme="minorBidi"/>
            <w:smallCaps w:val="0"/>
            <w:noProof/>
            <w:sz w:val="22"/>
            <w:szCs w:val="22"/>
            <w:lang w:val="en-NZ" w:eastAsia="en-NZ" w:bidi="ar-SA"/>
          </w:rPr>
          <w:tab/>
        </w:r>
        <w:r w:rsidR="003519F6" w:rsidRPr="00073E4B">
          <w:rPr>
            <w:rStyle w:val="Hyperlink"/>
            <w:noProof/>
          </w:rPr>
          <w:t>Conclusions</w:t>
        </w:r>
        <w:r w:rsidR="003519F6">
          <w:rPr>
            <w:noProof/>
            <w:webHidden/>
          </w:rPr>
          <w:tab/>
        </w:r>
        <w:r w:rsidR="003519F6">
          <w:rPr>
            <w:noProof/>
            <w:webHidden/>
          </w:rPr>
          <w:fldChar w:fldCharType="begin"/>
        </w:r>
        <w:r w:rsidR="003519F6">
          <w:rPr>
            <w:noProof/>
            <w:webHidden/>
          </w:rPr>
          <w:instrText xml:space="preserve"> PAGEREF _Toc401143928 \h </w:instrText>
        </w:r>
        <w:r w:rsidR="003519F6">
          <w:rPr>
            <w:noProof/>
            <w:webHidden/>
          </w:rPr>
        </w:r>
        <w:r w:rsidR="003519F6">
          <w:rPr>
            <w:noProof/>
            <w:webHidden/>
          </w:rPr>
          <w:fldChar w:fldCharType="separate"/>
        </w:r>
        <w:r w:rsidR="00680F3A">
          <w:rPr>
            <w:noProof/>
            <w:webHidden/>
          </w:rPr>
          <w:t>26</w:t>
        </w:r>
        <w:r w:rsidR="003519F6">
          <w:rPr>
            <w:noProof/>
            <w:webHidden/>
          </w:rPr>
          <w:fldChar w:fldCharType="end"/>
        </w:r>
      </w:hyperlink>
    </w:p>
    <w:p w:rsidR="003519F6" w:rsidRDefault="00CC28A5">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401143929" w:history="1">
        <w:r w:rsidR="003519F6" w:rsidRPr="00073E4B">
          <w:rPr>
            <w:rStyle w:val="Hyperlink"/>
            <w:noProof/>
          </w:rPr>
          <w:t>3.</w:t>
        </w:r>
        <w:r w:rsidR="003519F6">
          <w:rPr>
            <w:rFonts w:eastAsiaTheme="minorEastAsia" w:cstheme="minorBidi"/>
            <w:b w:val="0"/>
            <w:bCs w:val="0"/>
            <w:caps w:val="0"/>
            <w:noProof/>
            <w:sz w:val="22"/>
            <w:szCs w:val="22"/>
            <w:lang w:val="en-NZ" w:eastAsia="en-NZ" w:bidi="ar-SA"/>
          </w:rPr>
          <w:tab/>
        </w:r>
        <w:r w:rsidR="003519F6" w:rsidRPr="00073E4B">
          <w:rPr>
            <w:rStyle w:val="Hyperlink"/>
            <w:noProof/>
          </w:rPr>
          <w:t>Dietary exposure assessment</w:t>
        </w:r>
        <w:r w:rsidR="003519F6">
          <w:rPr>
            <w:noProof/>
            <w:webHidden/>
          </w:rPr>
          <w:tab/>
        </w:r>
        <w:r w:rsidR="003519F6">
          <w:rPr>
            <w:noProof/>
            <w:webHidden/>
          </w:rPr>
          <w:fldChar w:fldCharType="begin"/>
        </w:r>
        <w:r w:rsidR="003519F6">
          <w:rPr>
            <w:noProof/>
            <w:webHidden/>
          </w:rPr>
          <w:instrText xml:space="preserve"> PAGEREF _Toc401143929 \h </w:instrText>
        </w:r>
        <w:r w:rsidR="003519F6">
          <w:rPr>
            <w:noProof/>
            <w:webHidden/>
          </w:rPr>
        </w:r>
        <w:r w:rsidR="003519F6">
          <w:rPr>
            <w:noProof/>
            <w:webHidden/>
          </w:rPr>
          <w:fldChar w:fldCharType="separate"/>
        </w:r>
        <w:r w:rsidR="00680F3A">
          <w:rPr>
            <w:noProof/>
            <w:webHidden/>
          </w:rPr>
          <w:t>26</w:t>
        </w:r>
        <w:r w:rsidR="003519F6">
          <w:rPr>
            <w:noProof/>
            <w:webHidden/>
          </w:rPr>
          <w:fldChar w:fldCharType="end"/>
        </w:r>
      </w:hyperlink>
    </w:p>
    <w:p w:rsidR="003519F6" w:rsidRDefault="00CC28A5">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401143930" w:history="1">
        <w:r w:rsidR="003519F6" w:rsidRPr="00073E4B">
          <w:rPr>
            <w:rStyle w:val="Hyperlink"/>
            <w:noProof/>
          </w:rPr>
          <w:t>4.</w:t>
        </w:r>
        <w:r w:rsidR="003519F6">
          <w:rPr>
            <w:rFonts w:eastAsiaTheme="minorEastAsia" w:cstheme="minorBidi"/>
            <w:b w:val="0"/>
            <w:bCs w:val="0"/>
            <w:caps w:val="0"/>
            <w:noProof/>
            <w:sz w:val="22"/>
            <w:szCs w:val="22"/>
            <w:lang w:val="en-NZ" w:eastAsia="en-NZ" w:bidi="ar-SA"/>
          </w:rPr>
          <w:tab/>
        </w:r>
        <w:r w:rsidR="003519F6" w:rsidRPr="00073E4B">
          <w:rPr>
            <w:rStyle w:val="Hyperlink"/>
            <w:noProof/>
          </w:rPr>
          <w:t>Risk characterisation</w:t>
        </w:r>
        <w:r w:rsidR="003519F6">
          <w:rPr>
            <w:noProof/>
            <w:webHidden/>
          </w:rPr>
          <w:tab/>
        </w:r>
        <w:r w:rsidR="003519F6">
          <w:rPr>
            <w:noProof/>
            <w:webHidden/>
          </w:rPr>
          <w:fldChar w:fldCharType="begin"/>
        </w:r>
        <w:r w:rsidR="003519F6">
          <w:rPr>
            <w:noProof/>
            <w:webHidden/>
          </w:rPr>
          <w:instrText xml:space="preserve"> PAGEREF _Toc401143930 \h </w:instrText>
        </w:r>
        <w:r w:rsidR="003519F6">
          <w:rPr>
            <w:noProof/>
            <w:webHidden/>
          </w:rPr>
        </w:r>
        <w:r w:rsidR="003519F6">
          <w:rPr>
            <w:noProof/>
            <w:webHidden/>
          </w:rPr>
          <w:fldChar w:fldCharType="separate"/>
        </w:r>
        <w:r w:rsidR="00680F3A">
          <w:rPr>
            <w:noProof/>
            <w:webHidden/>
          </w:rPr>
          <w:t>27</w:t>
        </w:r>
        <w:r w:rsidR="003519F6">
          <w:rPr>
            <w:noProof/>
            <w:webHidden/>
          </w:rPr>
          <w:fldChar w:fldCharType="end"/>
        </w:r>
      </w:hyperlink>
    </w:p>
    <w:p w:rsidR="003519F6" w:rsidRDefault="00CC28A5">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401143931" w:history="1">
        <w:r w:rsidR="003519F6" w:rsidRPr="00073E4B">
          <w:rPr>
            <w:rStyle w:val="Hyperlink"/>
            <w:noProof/>
          </w:rPr>
          <w:t>5.</w:t>
        </w:r>
        <w:r w:rsidR="003519F6">
          <w:rPr>
            <w:rFonts w:eastAsiaTheme="minorEastAsia" w:cstheme="minorBidi"/>
            <w:b w:val="0"/>
            <w:bCs w:val="0"/>
            <w:caps w:val="0"/>
            <w:noProof/>
            <w:sz w:val="22"/>
            <w:szCs w:val="22"/>
            <w:lang w:val="en-NZ" w:eastAsia="en-NZ" w:bidi="ar-SA"/>
          </w:rPr>
          <w:tab/>
        </w:r>
        <w:r w:rsidR="003519F6" w:rsidRPr="00073E4B">
          <w:rPr>
            <w:rStyle w:val="Hyperlink"/>
            <w:noProof/>
          </w:rPr>
          <w:t>Risk assessment conclusions</w:t>
        </w:r>
        <w:r w:rsidR="003519F6">
          <w:rPr>
            <w:noProof/>
            <w:webHidden/>
          </w:rPr>
          <w:tab/>
        </w:r>
        <w:r w:rsidR="003519F6">
          <w:rPr>
            <w:noProof/>
            <w:webHidden/>
          </w:rPr>
          <w:fldChar w:fldCharType="begin"/>
        </w:r>
        <w:r w:rsidR="003519F6">
          <w:rPr>
            <w:noProof/>
            <w:webHidden/>
          </w:rPr>
          <w:instrText xml:space="preserve"> PAGEREF _Toc401143931 \h </w:instrText>
        </w:r>
        <w:r w:rsidR="003519F6">
          <w:rPr>
            <w:noProof/>
            <w:webHidden/>
          </w:rPr>
        </w:r>
        <w:r w:rsidR="003519F6">
          <w:rPr>
            <w:noProof/>
            <w:webHidden/>
          </w:rPr>
          <w:fldChar w:fldCharType="separate"/>
        </w:r>
        <w:r w:rsidR="00680F3A">
          <w:rPr>
            <w:noProof/>
            <w:webHidden/>
          </w:rPr>
          <w:t>27</w:t>
        </w:r>
        <w:r w:rsidR="003519F6">
          <w:rPr>
            <w:noProof/>
            <w:webHidden/>
          </w:rPr>
          <w:fldChar w:fldCharType="end"/>
        </w:r>
      </w:hyperlink>
    </w:p>
    <w:p w:rsidR="003519F6" w:rsidRDefault="00CC28A5">
      <w:pPr>
        <w:pStyle w:val="TOC2"/>
        <w:tabs>
          <w:tab w:val="left" w:pos="880"/>
          <w:tab w:val="right" w:leader="dot" w:pos="9060"/>
        </w:tabs>
        <w:rPr>
          <w:rFonts w:eastAsiaTheme="minorEastAsia" w:cstheme="minorBidi"/>
          <w:smallCaps w:val="0"/>
          <w:noProof/>
          <w:sz w:val="22"/>
          <w:szCs w:val="22"/>
          <w:lang w:val="en-NZ" w:eastAsia="en-NZ" w:bidi="ar-SA"/>
        </w:rPr>
      </w:pPr>
      <w:hyperlink w:anchor="_Toc401143932" w:history="1">
        <w:r w:rsidR="003519F6" w:rsidRPr="00073E4B">
          <w:rPr>
            <w:rStyle w:val="Hyperlink"/>
            <w:noProof/>
          </w:rPr>
          <w:t>5.1</w:t>
        </w:r>
        <w:r w:rsidR="003519F6">
          <w:rPr>
            <w:rFonts w:eastAsiaTheme="minorEastAsia" w:cstheme="minorBidi"/>
            <w:smallCaps w:val="0"/>
            <w:noProof/>
            <w:sz w:val="22"/>
            <w:szCs w:val="22"/>
            <w:lang w:val="en-NZ" w:eastAsia="en-NZ" w:bidi="ar-SA"/>
          </w:rPr>
          <w:tab/>
        </w:r>
        <w:r w:rsidR="003519F6" w:rsidRPr="00073E4B">
          <w:rPr>
            <w:rStyle w:val="Hyperlink"/>
            <w:noProof/>
          </w:rPr>
          <w:t>Responses to risk assessment questions</w:t>
        </w:r>
        <w:r w:rsidR="003519F6">
          <w:rPr>
            <w:noProof/>
            <w:webHidden/>
          </w:rPr>
          <w:tab/>
        </w:r>
        <w:r w:rsidR="003519F6">
          <w:rPr>
            <w:noProof/>
            <w:webHidden/>
          </w:rPr>
          <w:fldChar w:fldCharType="begin"/>
        </w:r>
        <w:r w:rsidR="003519F6">
          <w:rPr>
            <w:noProof/>
            <w:webHidden/>
          </w:rPr>
          <w:instrText xml:space="preserve"> PAGEREF _Toc401143932 \h </w:instrText>
        </w:r>
        <w:r w:rsidR="003519F6">
          <w:rPr>
            <w:noProof/>
            <w:webHidden/>
          </w:rPr>
        </w:r>
        <w:r w:rsidR="003519F6">
          <w:rPr>
            <w:noProof/>
            <w:webHidden/>
          </w:rPr>
          <w:fldChar w:fldCharType="separate"/>
        </w:r>
        <w:r w:rsidR="00680F3A">
          <w:rPr>
            <w:noProof/>
            <w:webHidden/>
          </w:rPr>
          <w:t>28</w:t>
        </w:r>
        <w:r w:rsidR="003519F6">
          <w:rPr>
            <w:noProof/>
            <w:webHidden/>
          </w:rPr>
          <w:fldChar w:fldCharType="end"/>
        </w:r>
      </w:hyperlink>
    </w:p>
    <w:p w:rsidR="003519F6" w:rsidRDefault="00CC28A5">
      <w:pPr>
        <w:pStyle w:val="TOC1"/>
        <w:tabs>
          <w:tab w:val="left" w:pos="440"/>
          <w:tab w:val="right" w:leader="dot" w:pos="9060"/>
        </w:tabs>
        <w:rPr>
          <w:rFonts w:eastAsiaTheme="minorEastAsia" w:cstheme="minorBidi"/>
          <w:b w:val="0"/>
          <w:bCs w:val="0"/>
          <w:caps w:val="0"/>
          <w:noProof/>
          <w:sz w:val="22"/>
          <w:szCs w:val="22"/>
          <w:lang w:val="en-NZ" w:eastAsia="en-NZ" w:bidi="ar-SA"/>
        </w:rPr>
      </w:pPr>
      <w:hyperlink w:anchor="_Toc401143933" w:history="1">
        <w:r w:rsidR="003519F6" w:rsidRPr="00073E4B">
          <w:rPr>
            <w:rStyle w:val="Hyperlink"/>
            <w:noProof/>
          </w:rPr>
          <w:t>6.</w:t>
        </w:r>
        <w:r w:rsidR="003519F6">
          <w:rPr>
            <w:rFonts w:eastAsiaTheme="minorEastAsia" w:cstheme="minorBidi"/>
            <w:b w:val="0"/>
            <w:bCs w:val="0"/>
            <w:caps w:val="0"/>
            <w:noProof/>
            <w:sz w:val="22"/>
            <w:szCs w:val="22"/>
            <w:lang w:val="en-NZ" w:eastAsia="en-NZ" w:bidi="ar-SA"/>
          </w:rPr>
          <w:tab/>
        </w:r>
        <w:r w:rsidR="003519F6" w:rsidRPr="00073E4B">
          <w:rPr>
            <w:rStyle w:val="Hyperlink"/>
            <w:noProof/>
          </w:rPr>
          <w:t>References</w:t>
        </w:r>
        <w:r w:rsidR="003519F6">
          <w:rPr>
            <w:noProof/>
            <w:webHidden/>
          </w:rPr>
          <w:tab/>
        </w:r>
        <w:r w:rsidR="003519F6">
          <w:rPr>
            <w:noProof/>
            <w:webHidden/>
          </w:rPr>
          <w:fldChar w:fldCharType="begin"/>
        </w:r>
        <w:r w:rsidR="003519F6">
          <w:rPr>
            <w:noProof/>
            <w:webHidden/>
          </w:rPr>
          <w:instrText xml:space="preserve"> PAGEREF _Toc401143933 \h </w:instrText>
        </w:r>
        <w:r w:rsidR="003519F6">
          <w:rPr>
            <w:noProof/>
            <w:webHidden/>
          </w:rPr>
        </w:r>
        <w:r w:rsidR="003519F6">
          <w:rPr>
            <w:noProof/>
            <w:webHidden/>
          </w:rPr>
          <w:fldChar w:fldCharType="separate"/>
        </w:r>
        <w:r w:rsidR="00680F3A">
          <w:rPr>
            <w:noProof/>
            <w:webHidden/>
          </w:rPr>
          <w:t>29</w:t>
        </w:r>
        <w:r w:rsidR="003519F6">
          <w:rPr>
            <w:noProof/>
            <w:webHidden/>
          </w:rPr>
          <w:fldChar w:fldCharType="end"/>
        </w:r>
      </w:hyperlink>
    </w:p>
    <w:p w:rsidR="003519F6" w:rsidRDefault="00CC28A5">
      <w:pPr>
        <w:pStyle w:val="TOC1"/>
        <w:tabs>
          <w:tab w:val="right" w:leader="dot" w:pos="9060"/>
        </w:tabs>
        <w:rPr>
          <w:rFonts w:eastAsiaTheme="minorEastAsia" w:cstheme="minorBidi"/>
          <w:b w:val="0"/>
          <w:bCs w:val="0"/>
          <w:caps w:val="0"/>
          <w:noProof/>
          <w:sz w:val="22"/>
          <w:szCs w:val="22"/>
          <w:lang w:val="en-NZ" w:eastAsia="en-NZ" w:bidi="ar-SA"/>
        </w:rPr>
      </w:pPr>
      <w:hyperlink w:anchor="_Toc401143934" w:history="1">
        <w:r w:rsidR="003519F6" w:rsidRPr="00073E4B">
          <w:rPr>
            <w:rStyle w:val="Hyperlink"/>
            <w:noProof/>
          </w:rPr>
          <w:t>Appendix 1</w:t>
        </w:r>
        <w:r w:rsidR="003519F6">
          <w:rPr>
            <w:noProof/>
            <w:webHidden/>
          </w:rPr>
          <w:tab/>
        </w:r>
        <w:r w:rsidR="003519F6">
          <w:rPr>
            <w:noProof/>
            <w:webHidden/>
          </w:rPr>
          <w:fldChar w:fldCharType="begin"/>
        </w:r>
        <w:r w:rsidR="003519F6">
          <w:rPr>
            <w:noProof/>
            <w:webHidden/>
          </w:rPr>
          <w:instrText xml:space="preserve"> PAGEREF _Toc401143934 \h </w:instrText>
        </w:r>
        <w:r w:rsidR="003519F6">
          <w:rPr>
            <w:noProof/>
            <w:webHidden/>
          </w:rPr>
        </w:r>
        <w:r w:rsidR="003519F6">
          <w:rPr>
            <w:noProof/>
            <w:webHidden/>
          </w:rPr>
          <w:fldChar w:fldCharType="separate"/>
        </w:r>
        <w:r w:rsidR="00680F3A">
          <w:rPr>
            <w:noProof/>
            <w:webHidden/>
          </w:rPr>
          <w:t>33</w:t>
        </w:r>
        <w:r w:rsidR="003519F6">
          <w:rPr>
            <w:noProof/>
            <w:webHidden/>
          </w:rPr>
          <w:fldChar w:fldCharType="end"/>
        </w:r>
      </w:hyperlink>
    </w:p>
    <w:p w:rsidR="003519F6" w:rsidRDefault="00CC28A5">
      <w:pPr>
        <w:pStyle w:val="TOC3"/>
        <w:tabs>
          <w:tab w:val="right" w:leader="dot" w:pos="9060"/>
        </w:tabs>
        <w:rPr>
          <w:rFonts w:eastAsiaTheme="minorEastAsia" w:cstheme="minorBidi"/>
          <w:i w:val="0"/>
          <w:iCs w:val="0"/>
          <w:noProof/>
          <w:sz w:val="22"/>
          <w:szCs w:val="22"/>
          <w:lang w:val="en-NZ" w:eastAsia="en-NZ" w:bidi="ar-SA"/>
        </w:rPr>
      </w:pPr>
      <w:hyperlink w:anchor="_Toc401143935" w:history="1">
        <w:r w:rsidR="003519F6" w:rsidRPr="00073E4B">
          <w:rPr>
            <w:rStyle w:val="Hyperlink"/>
            <w:noProof/>
          </w:rPr>
          <w:t>Structural formulae of tutin and related compounds</w:t>
        </w:r>
        <w:r w:rsidR="003519F6">
          <w:rPr>
            <w:noProof/>
            <w:webHidden/>
          </w:rPr>
          <w:tab/>
        </w:r>
        <w:r w:rsidR="003519F6">
          <w:rPr>
            <w:noProof/>
            <w:webHidden/>
          </w:rPr>
          <w:fldChar w:fldCharType="begin"/>
        </w:r>
        <w:r w:rsidR="003519F6">
          <w:rPr>
            <w:noProof/>
            <w:webHidden/>
          </w:rPr>
          <w:instrText xml:space="preserve"> PAGEREF _Toc401143935 \h </w:instrText>
        </w:r>
        <w:r w:rsidR="003519F6">
          <w:rPr>
            <w:noProof/>
            <w:webHidden/>
          </w:rPr>
        </w:r>
        <w:r w:rsidR="003519F6">
          <w:rPr>
            <w:noProof/>
            <w:webHidden/>
          </w:rPr>
          <w:fldChar w:fldCharType="separate"/>
        </w:r>
        <w:r w:rsidR="00680F3A">
          <w:rPr>
            <w:noProof/>
            <w:webHidden/>
          </w:rPr>
          <w:t>33</w:t>
        </w:r>
        <w:r w:rsidR="003519F6">
          <w:rPr>
            <w:noProof/>
            <w:webHidden/>
          </w:rPr>
          <w:fldChar w:fldCharType="end"/>
        </w:r>
      </w:hyperlink>
    </w:p>
    <w:p w:rsidR="003519F6" w:rsidRDefault="00CC28A5">
      <w:pPr>
        <w:pStyle w:val="TOC1"/>
        <w:tabs>
          <w:tab w:val="right" w:leader="dot" w:pos="9060"/>
        </w:tabs>
        <w:rPr>
          <w:rFonts w:eastAsiaTheme="minorEastAsia" w:cstheme="minorBidi"/>
          <w:b w:val="0"/>
          <w:bCs w:val="0"/>
          <w:caps w:val="0"/>
          <w:noProof/>
          <w:sz w:val="22"/>
          <w:szCs w:val="22"/>
          <w:lang w:val="en-NZ" w:eastAsia="en-NZ" w:bidi="ar-SA"/>
        </w:rPr>
      </w:pPr>
      <w:hyperlink w:anchor="_Toc401143936" w:history="1">
        <w:r w:rsidR="003519F6" w:rsidRPr="00073E4B">
          <w:rPr>
            <w:rStyle w:val="Hyperlink"/>
            <w:noProof/>
          </w:rPr>
          <w:t>Appendix 2</w:t>
        </w:r>
        <w:r w:rsidR="003519F6">
          <w:rPr>
            <w:noProof/>
            <w:webHidden/>
          </w:rPr>
          <w:tab/>
        </w:r>
        <w:r w:rsidR="003519F6">
          <w:rPr>
            <w:noProof/>
            <w:webHidden/>
          </w:rPr>
          <w:fldChar w:fldCharType="begin"/>
        </w:r>
        <w:r w:rsidR="003519F6">
          <w:rPr>
            <w:noProof/>
            <w:webHidden/>
          </w:rPr>
          <w:instrText xml:space="preserve"> PAGEREF _Toc401143936 \h </w:instrText>
        </w:r>
        <w:r w:rsidR="003519F6">
          <w:rPr>
            <w:noProof/>
            <w:webHidden/>
          </w:rPr>
        </w:r>
        <w:r w:rsidR="003519F6">
          <w:rPr>
            <w:noProof/>
            <w:webHidden/>
          </w:rPr>
          <w:fldChar w:fldCharType="separate"/>
        </w:r>
        <w:r w:rsidR="00680F3A">
          <w:rPr>
            <w:noProof/>
            <w:webHidden/>
          </w:rPr>
          <w:t>34</w:t>
        </w:r>
        <w:r w:rsidR="003519F6">
          <w:rPr>
            <w:noProof/>
            <w:webHidden/>
          </w:rPr>
          <w:fldChar w:fldCharType="end"/>
        </w:r>
      </w:hyperlink>
    </w:p>
    <w:p w:rsidR="003519F6" w:rsidRDefault="00CC28A5">
      <w:pPr>
        <w:pStyle w:val="TOC3"/>
        <w:tabs>
          <w:tab w:val="right" w:leader="dot" w:pos="9060"/>
        </w:tabs>
        <w:rPr>
          <w:rFonts w:eastAsiaTheme="minorEastAsia" w:cstheme="minorBidi"/>
          <w:i w:val="0"/>
          <w:iCs w:val="0"/>
          <w:noProof/>
          <w:sz w:val="22"/>
          <w:szCs w:val="22"/>
          <w:lang w:val="en-NZ" w:eastAsia="en-NZ" w:bidi="ar-SA"/>
        </w:rPr>
      </w:pPr>
      <w:hyperlink w:anchor="_Toc401143937" w:history="1">
        <w:r w:rsidR="003519F6" w:rsidRPr="00073E4B">
          <w:rPr>
            <w:rStyle w:val="Hyperlink"/>
            <w:noProof/>
          </w:rPr>
          <w:t>Discovery of tutin glycosides in honey samples and attempts to release tutin from glycosides by incubation with human colonic microflora</w:t>
        </w:r>
        <w:r w:rsidR="003519F6">
          <w:rPr>
            <w:noProof/>
            <w:webHidden/>
          </w:rPr>
          <w:tab/>
        </w:r>
        <w:r w:rsidR="003519F6">
          <w:rPr>
            <w:noProof/>
            <w:webHidden/>
          </w:rPr>
          <w:fldChar w:fldCharType="begin"/>
        </w:r>
        <w:r w:rsidR="003519F6">
          <w:rPr>
            <w:noProof/>
            <w:webHidden/>
          </w:rPr>
          <w:instrText xml:space="preserve"> PAGEREF _Toc401143937 \h </w:instrText>
        </w:r>
        <w:r w:rsidR="003519F6">
          <w:rPr>
            <w:noProof/>
            <w:webHidden/>
          </w:rPr>
        </w:r>
        <w:r w:rsidR="003519F6">
          <w:rPr>
            <w:noProof/>
            <w:webHidden/>
          </w:rPr>
          <w:fldChar w:fldCharType="separate"/>
        </w:r>
        <w:r w:rsidR="00680F3A">
          <w:rPr>
            <w:noProof/>
            <w:webHidden/>
          </w:rPr>
          <w:t>34</w:t>
        </w:r>
        <w:r w:rsidR="003519F6">
          <w:rPr>
            <w:noProof/>
            <w:webHidden/>
          </w:rPr>
          <w:fldChar w:fldCharType="end"/>
        </w:r>
      </w:hyperlink>
    </w:p>
    <w:p w:rsidR="003519F6" w:rsidRDefault="00CC28A5">
      <w:pPr>
        <w:pStyle w:val="TOC1"/>
        <w:tabs>
          <w:tab w:val="right" w:leader="dot" w:pos="9060"/>
        </w:tabs>
        <w:rPr>
          <w:rFonts w:eastAsiaTheme="minorEastAsia" w:cstheme="minorBidi"/>
          <w:b w:val="0"/>
          <w:bCs w:val="0"/>
          <w:caps w:val="0"/>
          <w:noProof/>
          <w:sz w:val="22"/>
          <w:szCs w:val="22"/>
          <w:lang w:val="en-NZ" w:eastAsia="en-NZ" w:bidi="ar-SA"/>
        </w:rPr>
      </w:pPr>
      <w:hyperlink w:anchor="_Toc401143938" w:history="1">
        <w:r w:rsidR="003519F6" w:rsidRPr="00073E4B">
          <w:rPr>
            <w:rStyle w:val="Hyperlink"/>
            <w:noProof/>
          </w:rPr>
          <w:t>Appendix 3</w:t>
        </w:r>
        <w:r w:rsidR="003519F6">
          <w:rPr>
            <w:noProof/>
            <w:webHidden/>
          </w:rPr>
          <w:tab/>
        </w:r>
        <w:r w:rsidR="003519F6">
          <w:rPr>
            <w:noProof/>
            <w:webHidden/>
          </w:rPr>
          <w:fldChar w:fldCharType="begin"/>
        </w:r>
        <w:r w:rsidR="003519F6">
          <w:rPr>
            <w:noProof/>
            <w:webHidden/>
          </w:rPr>
          <w:instrText xml:space="preserve"> PAGEREF _Toc401143938 \h </w:instrText>
        </w:r>
        <w:r w:rsidR="003519F6">
          <w:rPr>
            <w:noProof/>
            <w:webHidden/>
          </w:rPr>
        </w:r>
        <w:r w:rsidR="003519F6">
          <w:rPr>
            <w:noProof/>
            <w:webHidden/>
          </w:rPr>
          <w:fldChar w:fldCharType="separate"/>
        </w:r>
        <w:r w:rsidR="00680F3A">
          <w:rPr>
            <w:noProof/>
            <w:webHidden/>
          </w:rPr>
          <w:t>36</w:t>
        </w:r>
        <w:r w:rsidR="003519F6">
          <w:rPr>
            <w:noProof/>
            <w:webHidden/>
          </w:rPr>
          <w:fldChar w:fldCharType="end"/>
        </w:r>
      </w:hyperlink>
    </w:p>
    <w:p w:rsidR="003519F6" w:rsidRDefault="00CC28A5">
      <w:pPr>
        <w:pStyle w:val="TOC3"/>
        <w:tabs>
          <w:tab w:val="right" w:leader="dot" w:pos="9060"/>
        </w:tabs>
        <w:rPr>
          <w:rFonts w:eastAsiaTheme="minorEastAsia" w:cstheme="minorBidi"/>
          <w:i w:val="0"/>
          <w:iCs w:val="0"/>
          <w:noProof/>
          <w:sz w:val="22"/>
          <w:szCs w:val="22"/>
          <w:lang w:val="en-NZ" w:eastAsia="en-NZ" w:bidi="ar-SA"/>
        </w:rPr>
      </w:pPr>
      <w:hyperlink w:anchor="_Toc401143939" w:history="1">
        <w:r w:rsidR="003519F6" w:rsidRPr="00073E4B">
          <w:rPr>
            <w:rStyle w:val="Hyperlink"/>
            <w:noProof/>
          </w:rPr>
          <w:t>Attempts to hydrolyse tutin glycosides in honey using enzymatic and acid incubations</w:t>
        </w:r>
        <w:r w:rsidR="003519F6">
          <w:rPr>
            <w:noProof/>
            <w:webHidden/>
          </w:rPr>
          <w:tab/>
        </w:r>
        <w:r w:rsidR="003519F6">
          <w:rPr>
            <w:noProof/>
            <w:webHidden/>
          </w:rPr>
          <w:fldChar w:fldCharType="begin"/>
        </w:r>
        <w:r w:rsidR="003519F6">
          <w:rPr>
            <w:noProof/>
            <w:webHidden/>
          </w:rPr>
          <w:instrText xml:space="preserve"> PAGEREF _Toc401143939 \h </w:instrText>
        </w:r>
        <w:r w:rsidR="003519F6">
          <w:rPr>
            <w:noProof/>
            <w:webHidden/>
          </w:rPr>
        </w:r>
        <w:r w:rsidR="003519F6">
          <w:rPr>
            <w:noProof/>
            <w:webHidden/>
          </w:rPr>
          <w:fldChar w:fldCharType="separate"/>
        </w:r>
        <w:r w:rsidR="00680F3A">
          <w:rPr>
            <w:noProof/>
            <w:webHidden/>
          </w:rPr>
          <w:t>36</w:t>
        </w:r>
        <w:r w:rsidR="003519F6">
          <w:rPr>
            <w:noProof/>
            <w:webHidden/>
          </w:rPr>
          <w:fldChar w:fldCharType="end"/>
        </w:r>
      </w:hyperlink>
    </w:p>
    <w:p w:rsidR="003519F6" w:rsidRDefault="00CC28A5">
      <w:pPr>
        <w:pStyle w:val="TOC1"/>
        <w:tabs>
          <w:tab w:val="right" w:leader="dot" w:pos="9060"/>
        </w:tabs>
        <w:rPr>
          <w:rFonts w:eastAsiaTheme="minorEastAsia" w:cstheme="minorBidi"/>
          <w:b w:val="0"/>
          <w:bCs w:val="0"/>
          <w:caps w:val="0"/>
          <w:noProof/>
          <w:sz w:val="22"/>
          <w:szCs w:val="22"/>
          <w:lang w:val="en-NZ" w:eastAsia="en-NZ" w:bidi="ar-SA"/>
        </w:rPr>
      </w:pPr>
      <w:hyperlink w:anchor="_Toc401143940" w:history="1">
        <w:r w:rsidR="003519F6" w:rsidRPr="00073E4B">
          <w:rPr>
            <w:rStyle w:val="Hyperlink"/>
            <w:noProof/>
          </w:rPr>
          <w:t>Appendix 4</w:t>
        </w:r>
        <w:r w:rsidR="003519F6">
          <w:rPr>
            <w:noProof/>
            <w:webHidden/>
          </w:rPr>
          <w:tab/>
        </w:r>
        <w:r w:rsidR="003519F6">
          <w:rPr>
            <w:noProof/>
            <w:webHidden/>
          </w:rPr>
          <w:fldChar w:fldCharType="begin"/>
        </w:r>
        <w:r w:rsidR="003519F6">
          <w:rPr>
            <w:noProof/>
            <w:webHidden/>
          </w:rPr>
          <w:instrText xml:space="preserve"> PAGEREF _Toc401143940 \h </w:instrText>
        </w:r>
        <w:r w:rsidR="003519F6">
          <w:rPr>
            <w:noProof/>
            <w:webHidden/>
          </w:rPr>
        </w:r>
        <w:r w:rsidR="003519F6">
          <w:rPr>
            <w:noProof/>
            <w:webHidden/>
          </w:rPr>
          <w:fldChar w:fldCharType="separate"/>
        </w:r>
        <w:r w:rsidR="00680F3A">
          <w:rPr>
            <w:noProof/>
            <w:webHidden/>
          </w:rPr>
          <w:t>37</w:t>
        </w:r>
        <w:r w:rsidR="003519F6">
          <w:rPr>
            <w:noProof/>
            <w:webHidden/>
          </w:rPr>
          <w:fldChar w:fldCharType="end"/>
        </w:r>
      </w:hyperlink>
    </w:p>
    <w:p w:rsidR="003519F6" w:rsidRDefault="00CC28A5">
      <w:pPr>
        <w:pStyle w:val="TOC3"/>
        <w:tabs>
          <w:tab w:val="right" w:leader="dot" w:pos="9060"/>
        </w:tabs>
        <w:rPr>
          <w:rFonts w:eastAsiaTheme="minorEastAsia" w:cstheme="minorBidi"/>
          <w:i w:val="0"/>
          <w:iCs w:val="0"/>
          <w:noProof/>
          <w:sz w:val="22"/>
          <w:szCs w:val="22"/>
          <w:lang w:val="en-NZ" w:eastAsia="en-NZ" w:bidi="ar-SA"/>
        </w:rPr>
      </w:pPr>
      <w:hyperlink w:anchor="_Toc401143941" w:history="1">
        <w:r w:rsidR="003519F6" w:rsidRPr="00073E4B">
          <w:rPr>
            <w:rStyle w:val="Hyperlink"/>
            <w:noProof/>
          </w:rPr>
          <w:t>Variability in the ratio of tutin to tutin glycosides in honey samples</w:t>
        </w:r>
        <w:r w:rsidR="003519F6">
          <w:rPr>
            <w:noProof/>
            <w:webHidden/>
          </w:rPr>
          <w:tab/>
        </w:r>
        <w:r w:rsidR="003519F6">
          <w:rPr>
            <w:noProof/>
            <w:webHidden/>
          </w:rPr>
          <w:fldChar w:fldCharType="begin"/>
        </w:r>
        <w:r w:rsidR="003519F6">
          <w:rPr>
            <w:noProof/>
            <w:webHidden/>
          </w:rPr>
          <w:instrText xml:space="preserve"> PAGEREF _Toc401143941 \h </w:instrText>
        </w:r>
        <w:r w:rsidR="003519F6">
          <w:rPr>
            <w:noProof/>
            <w:webHidden/>
          </w:rPr>
        </w:r>
        <w:r w:rsidR="003519F6">
          <w:rPr>
            <w:noProof/>
            <w:webHidden/>
          </w:rPr>
          <w:fldChar w:fldCharType="separate"/>
        </w:r>
        <w:r w:rsidR="00680F3A">
          <w:rPr>
            <w:noProof/>
            <w:webHidden/>
          </w:rPr>
          <w:t>37</w:t>
        </w:r>
        <w:r w:rsidR="003519F6">
          <w:rPr>
            <w:noProof/>
            <w:webHidden/>
          </w:rPr>
          <w:fldChar w:fldCharType="end"/>
        </w:r>
      </w:hyperlink>
    </w:p>
    <w:p w:rsidR="00051ED9" w:rsidRDefault="004E5D67" w:rsidP="004E5D67">
      <w:r w:rsidRPr="004E5D67">
        <w:rPr>
          <w:rFonts w:cs="Arial"/>
        </w:rPr>
        <w:fldChar w:fldCharType="end"/>
      </w:r>
      <w:r w:rsidR="00562917" w:rsidRPr="00E203C2">
        <w:br w:type="page"/>
      </w:r>
    </w:p>
    <w:p w:rsidR="00A128B3" w:rsidRPr="00A128B3" w:rsidRDefault="00547A38" w:rsidP="00B739BC">
      <w:pPr>
        <w:pStyle w:val="Heading1"/>
      </w:pPr>
      <w:bookmarkStart w:id="5" w:name="_Toc401143907"/>
      <w:r>
        <w:lastRenderedPageBreak/>
        <w:t>1.</w:t>
      </w:r>
      <w:r>
        <w:tab/>
      </w:r>
      <w:bookmarkStart w:id="6" w:name="_Toc360028591"/>
      <w:r w:rsidR="00A128B3" w:rsidRPr="00BD21BD">
        <w:t>I</w:t>
      </w:r>
      <w:bookmarkEnd w:id="6"/>
      <w:r w:rsidR="00BD21BD">
        <w:t>ntroduction</w:t>
      </w:r>
      <w:bookmarkEnd w:id="5"/>
    </w:p>
    <w:p w:rsidR="00D21254" w:rsidRDefault="00D21254" w:rsidP="00C46C9B">
      <w:pPr>
        <w:pStyle w:val="Heading2"/>
      </w:pPr>
      <w:bookmarkStart w:id="7" w:name="_Toc401143908"/>
      <w:r>
        <w:t>1.1</w:t>
      </w:r>
      <w:r>
        <w:tab/>
        <w:t>Background</w:t>
      </w:r>
      <w:bookmarkEnd w:id="7"/>
    </w:p>
    <w:p w:rsidR="00D21254" w:rsidRPr="00B43466" w:rsidRDefault="0036179C" w:rsidP="00B43466">
      <w:r>
        <w:t xml:space="preserve">Tutin is a plant-derived neurotoxin which is sometimes found as a natural toxicant in New Zealand honey. </w:t>
      </w:r>
      <w:r w:rsidR="00CC355C" w:rsidRPr="00CC355C">
        <w:t xml:space="preserve">Tutin contamination of honey occurs when bees gather honeydew from an insect that feeds on sap of the shrub </w:t>
      </w:r>
      <w:r w:rsidR="00CC355C" w:rsidRPr="00D55B10">
        <w:rPr>
          <w:i/>
        </w:rPr>
        <w:t>Coriaria arborea</w:t>
      </w:r>
      <w:r w:rsidR="00CC355C" w:rsidRPr="00CC355C">
        <w:t xml:space="preserve"> (“tutu”). </w:t>
      </w:r>
      <w:r>
        <w:t xml:space="preserve">Consumption of </w:t>
      </w:r>
      <w:r w:rsidR="00DE4C17">
        <w:t xml:space="preserve">tutu honeydew </w:t>
      </w:r>
      <w:r>
        <w:t>honey can result in serious acute adverse health effects.</w:t>
      </w:r>
      <w:r w:rsidR="00B3546C" w:rsidRPr="00B3546C">
        <w:t xml:space="preserve"> </w:t>
      </w:r>
      <w:r w:rsidR="00B3546C">
        <w:t xml:space="preserve">In 2009, temporary maximum levels (MLs) for tutin in honey and comb honey </w:t>
      </w:r>
      <w:r w:rsidR="00BB0A15">
        <w:t xml:space="preserve">of 2 mg/kg and 0.1 mg/kg, respectively, </w:t>
      </w:r>
      <w:r w:rsidR="00B3546C">
        <w:t xml:space="preserve">were included in the </w:t>
      </w:r>
      <w:r w:rsidR="00B3546C" w:rsidRPr="007C578B">
        <w:rPr>
          <w:i/>
        </w:rPr>
        <w:t>Australia New Zealand Food Standards Code</w:t>
      </w:r>
      <w:r w:rsidR="00B3546C">
        <w:t xml:space="preserve"> </w:t>
      </w:r>
      <w:r w:rsidR="000F7351">
        <w:t xml:space="preserve">(the Code) </w:t>
      </w:r>
      <w:r w:rsidR="00B3546C">
        <w:t>(Standard 1.4.1 –</w:t>
      </w:r>
      <w:r w:rsidR="00470B5F">
        <w:t xml:space="preserve"> </w:t>
      </w:r>
      <w:r w:rsidR="00B3546C">
        <w:t>Contaminants and Natural Toxicants). These MLs are identical to those brought into force in</w:t>
      </w:r>
      <w:r w:rsidR="00470B5F">
        <w:t xml:space="preserve"> </w:t>
      </w:r>
      <w:r w:rsidR="00B3546C">
        <w:t xml:space="preserve">New Zealand in January 2009. They were introduced as a temporary risk management measure in response to an incident in Coromandel, New Zealand when at least 20 people were poisoned following the consumption of </w:t>
      </w:r>
      <w:r w:rsidR="00DE4C17">
        <w:t xml:space="preserve">comb </w:t>
      </w:r>
      <w:r w:rsidR="00B3546C">
        <w:t xml:space="preserve">honey containing tutin. </w:t>
      </w:r>
    </w:p>
    <w:p w:rsidR="00A128B3" w:rsidRPr="00A128B3" w:rsidRDefault="00A128B3" w:rsidP="00075756">
      <w:pPr>
        <w:pStyle w:val="Heading2"/>
      </w:pPr>
      <w:bookmarkStart w:id="8" w:name="_Toc401143909"/>
      <w:bookmarkStart w:id="9" w:name="_Toc120358576"/>
      <w:r w:rsidRPr="00A128B3">
        <w:t>1.</w:t>
      </w:r>
      <w:r w:rsidR="00547A38">
        <w:t>2</w:t>
      </w:r>
      <w:r w:rsidRPr="00A128B3">
        <w:tab/>
      </w:r>
      <w:bookmarkStart w:id="10" w:name="_Toc360028592"/>
      <w:r w:rsidRPr="00A128B3">
        <w:t xml:space="preserve">Risk </w:t>
      </w:r>
      <w:r w:rsidR="00307A70">
        <w:t>a</w:t>
      </w:r>
      <w:r w:rsidRPr="00A128B3">
        <w:t xml:space="preserve">ssessment </w:t>
      </w:r>
      <w:r w:rsidR="00307A70">
        <w:t>c</w:t>
      </w:r>
      <w:r w:rsidRPr="00A128B3">
        <w:t>ontext</w:t>
      </w:r>
      <w:bookmarkEnd w:id="10"/>
      <w:bookmarkEnd w:id="8"/>
    </w:p>
    <w:p w:rsidR="00423984" w:rsidRDefault="00423984" w:rsidP="00423984">
      <w:r w:rsidRPr="00A128B3">
        <w:t xml:space="preserve">FSANZ has not previously </w:t>
      </w:r>
      <w:r w:rsidR="00ED10C2">
        <w:t xml:space="preserve">conducted a risk assessment of </w:t>
      </w:r>
      <w:r w:rsidRPr="00A128B3">
        <w:t>tutin</w:t>
      </w:r>
      <w:r w:rsidR="00ED10C2">
        <w:t xml:space="preserve"> or related substances found as natural toxicants in honey</w:t>
      </w:r>
      <w:r w:rsidRPr="00A128B3">
        <w:t>. Therefore the aims of the current assessment are to:</w:t>
      </w:r>
    </w:p>
    <w:p w:rsidR="0036179C" w:rsidRPr="00A128B3" w:rsidRDefault="0036179C" w:rsidP="00423984"/>
    <w:p w:rsidR="00423984" w:rsidRPr="00A128B3" w:rsidRDefault="00423984" w:rsidP="00423984">
      <w:pPr>
        <w:numPr>
          <w:ilvl w:val="0"/>
          <w:numId w:val="5"/>
        </w:numPr>
      </w:pPr>
      <w:r w:rsidRPr="00A128B3">
        <w:t xml:space="preserve">Evaluate data </w:t>
      </w:r>
      <w:r w:rsidR="0036179C">
        <w:t xml:space="preserve">relevant </w:t>
      </w:r>
      <w:r w:rsidR="00B3546C">
        <w:t>to</w:t>
      </w:r>
      <w:r w:rsidR="0036179C">
        <w:t xml:space="preserve"> the</w:t>
      </w:r>
      <w:r w:rsidR="00797BFD" w:rsidRPr="00A128B3">
        <w:t xml:space="preserve"> </w:t>
      </w:r>
      <w:r w:rsidR="00B3546C">
        <w:t>risk</w:t>
      </w:r>
      <w:r w:rsidR="00B3546C" w:rsidRPr="00A128B3">
        <w:t xml:space="preserve"> </w:t>
      </w:r>
      <w:r w:rsidRPr="00A128B3">
        <w:t xml:space="preserve">assessment of tutin as a natural toxicant </w:t>
      </w:r>
      <w:r w:rsidR="007A3E94">
        <w:t>in</w:t>
      </w:r>
      <w:r w:rsidRPr="00A128B3">
        <w:t xml:space="preserve"> honey,</w:t>
      </w:r>
    </w:p>
    <w:p w:rsidR="00423984" w:rsidRPr="00A128B3" w:rsidRDefault="00423984" w:rsidP="00C46C9B">
      <w:pPr>
        <w:numPr>
          <w:ilvl w:val="0"/>
          <w:numId w:val="5"/>
        </w:numPr>
        <w:rPr>
          <w:rFonts w:cs="Arial"/>
        </w:rPr>
      </w:pPr>
      <w:r w:rsidRPr="00A128B3">
        <w:t xml:space="preserve">Evaluate </w:t>
      </w:r>
      <w:r w:rsidR="0036179C">
        <w:t xml:space="preserve">relevant </w:t>
      </w:r>
      <w:r w:rsidRPr="00A128B3">
        <w:t xml:space="preserve">data on </w:t>
      </w:r>
      <w:r w:rsidR="00564868">
        <w:t>substances</w:t>
      </w:r>
      <w:r w:rsidR="00564868" w:rsidRPr="00A128B3">
        <w:t xml:space="preserve"> </w:t>
      </w:r>
      <w:r w:rsidRPr="00A128B3">
        <w:t>related to tutin</w:t>
      </w:r>
      <w:r w:rsidR="00564868">
        <w:t xml:space="preserve"> that are also present in toxic honey</w:t>
      </w:r>
      <w:r w:rsidR="0036179C">
        <w:t>.</w:t>
      </w:r>
    </w:p>
    <w:p w:rsidR="00A128B3" w:rsidRPr="00A128B3" w:rsidRDefault="00A128B3" w:rsidP="00075756">
      <w:pPr>
        <w:pStyle w:val="Heading2"/>
        <w:rPr>
          <w:rFonts w:eastAsiaTheme="majorEastAsia"/>
          <w:lang w:val="en-AU"/>
        </w:rPr>
      </w:pPr>
      <w:bookmarkStart w:id="11" w:name="_Toc360028593"/>
      <w:bookmarkStart w:id="12" w:name="_Toc401143910"/>
      <w:bookmarkEnd w:id="9"/>
      <w:r w:rsidRPr="00A128B3">
        <w:rPr>
          <w:rFonts w:eastAsiaTheme="majorEastAsia"/>
          <w:lang w:val="en-AU"/>
        </w:rPr>
        <w:t>1.</w:t>
      </w:r>
      <w:r w:rsidR="00547A38">
        <w:rPr>
          <w:rFonts w:eastAsiaTheme="majorEastAsia"/>
          <w:lang w:val="en-AU"/>
        </w:rPr>
        <w:t>3</w:t>
      </w:r>
      <w:r w:rsidR="00307A70">
        <w:rPr>
          <w:rFonts w:eastAsiaTheme="majorEastAsia"/>
          <w:lang w:val="en-AU"/>
        </w:rPr>
        <w:tab/>
        <w:t>Risk a</w:t>
      </w:r>
      <w:r w:rsidRPr="00A128B3">
        <w:rPr>
          <w:rFonts w:eastAsiaTheme="majorEastAsia"/>
          <w:lang w:val="en-AU"/>
        </w:rPr>
        <w:t xml:space="preserve">ssessment </w:t>
      </w:r>
      <w:r w:rsidR="00307A70">
        <w:rPr>
          <w:rFonts w:eastAsiaTheme="majorEastAsia"/>
          <w:lang w:val="en-AU"/>
        </w:rPr>
        <w:t>q</w:t>
      </w:r>
      <w:r w:rsidRPr="00A128B3">
        <w:rPr>
          <w:rFonts w:eastAsiaTheme="majorEastAsia"/>
          <w:lang w:val="en-AU"/>
        </w:rPr>
        <w:t>uestions</w:t>
      </w:r>
      <w:bookmarkEnd w:id="11"/>
      <w:bookmarkEnd w:id="12"/>
    </w:p>
    <w:p w:rsidR="00A128B3" w:rsidRPr="00A128B3" w:rsidRDefault="00A128B3" w:rsidP="00A128B3">
      <w:pPr>
        <w:rPr>
          <w:rFonts w:cs="Arial"/>
        </w:rPr>
      </w:pPr>
      <w:r>
        <w:rPr>
          <w:rFonts w:cs="Arial"/>
        </w:rPr>
        <w:t>For this Proposal</w:t>
      </w:r>
      <w:r w:rsidRPr="00A128B3">
        <w:rPr>
          <w:rFonts w:cs="Arial"/>
        </w:rPr>
        <w:t xml:space="preserve">, the risk assessment questions were developed in the context of the Section 18 Objectives of the </w:t>
      </w:r>
      <w:r w:rsidRPr="00A128B3">
        <w:rPr>
          <w:rFonts w:cs="Arial"/>
          <w:i/>
        </w:rPr>
        <w:t>Food Standards Australia New Zealand Act 1991</w:t>
      </w:r>
      <w:r w:rsidRPr="00A128B3">
        <w:rPr>
          <w:rFonts w:cs="Arial"/>
        </w:rPr>
        <w:t>.</w:t>
      </w:r>
    </w:p>
    <w:p w:rsidR="00A128B3" w:rsidRPr="00A128B3" w:rsidRDefault="00A128B3" w:rsidP="00A128B3">
      <w:pPr>
        <w:rPr>
          <w:rFonts w:cs="Arial"/>
        </w:rPr>
      </w:pPr>
    </w:p>
    <w:p w:rsidR="00A128B3" w:rsidRPr="00A128B3" w:rsidRDefault="00A128B3" w:rsidP="00A128B3">
      <w:pPr>
        <w:spacing w:after="120"/>
        <w:rPr>
          <w:rFonts w:cs="Arial"/>
        </w:rPr>
      </w:pPr>
      <w:r w:rsidRPr="00A128B3">
        <w:rPr>
          <w:rFonts w:cs="Arial"/>
        </w:rPr>
        <w:t>The following risk assessment questions are addressed in this report:</w:t>
      </w:r>
    </w:p>
    <w:p w:rsidR="00A128B3" w:rsidRDefault="00A128B3" w:rsidP="00A128B3">
      <w:pPr>
        <w:ind w:left="567" w:hanging="567"/>
        <w:rPr>
          <w:rFonts w:cs="Arial"/>
        </w:rPr>
      </w:pPr>
      <w:r w:rsidRPr="00A128B3">
        <w:rPr>
          <w:rFonts w:cs="Arial"/>
        </w:rPr>
        <w:t>1.</w:t>
      </w:r>
      <w:r w:rsidRPr="00A128B3">
        <w:rPr>
          <w:rFonts w:cs="Arial"/>
        </w:rPr>
        <w:tab/>
      </w:r>
      <w:r w:rsidR="001A08D1" w:rsidRPr="001A08D1">
        <w:rPr>
          <w:rFonts w:cs="Arial"/>
        </w:rPr>
        <w:t xml:space="preserve">Why do </w:t>
      </w:r>
      <w:r w:rsidR="00093402">
        <w:rPr>
          <w:rFonts w:cs="Arial"/>
        </w:rPr>
        <w:t xml:space="preserve">some </w:t>
      </w:r>
      <w:r w:rsidR="001A08D1" w:rsidRPr="001A08D1">
        <w:rPr>
          <w:rFonts w:cs="Arial"/>
        </w:rPr>
        <w:t xml:space="preserve">consumers of toxic </w:t>
      </w:r>
      <w:r w:rsidR="00BF11E0">
        <w:rPr>
          <w:rFonts w:cs="Arial"/>
        </w:rPr>
        <w:t xml:space="preserve">tutu </w:t>
      </w:r>
      <w:r w:rsidR="001A08D1" w:rsidRPr="001A08D1">
        <w:rPr>
          <w:rFonts w:cs="Arial"/>
        </w:rPr>
        <w:t>honeydew honey experience delayed onset of clinical signs and symptoms?</w:t>
      </w:r>
    </w:p>
    <w:p w:rsidR="005E2111" w:rsidRDefault="005E2111" w:rsidP="00A128B3">
      <w:pPr>
        <w:ind w:left="567" w:hanging="567"/>
        <w:rPr>
          <w:rFonts w:cs="Arial"/>
        </w:rPr>
      </w:pPr>
    </w:p>
    <w:p w:rsidR="005E2111" w:rsidRPr="00A128B3" w:rsidRDefault="005E2111" w:rsidP="00A128B3">
      <w:pPr>
        <w:ind w:left="567" w:hanging="567"/>
        <w:rPr>
          <w:rFonts w:cs="Arial"/>
        </w:rPr>
      </w:pPr>
      <w:r>
        <w:rPr>
          <w:rFonts w:cs="Arial"/>
        </w:rPr>
        <w:t>2.</w:t>
      </w:r>
      <w:r>
        <w:rPr>
          <w:rFonts w:cs="Arial"/>
        </w:rPr>
        <w:tab/>
      </w:r>
      <w:r w:rsidR="001A08D1" w:rsidRPr="001A08D1">
        <w:rPr>
          <w:rFonts w:cs="Arial"/>
        </w:rPr>
        <w:t>Does a delayed onset of clinical signs and symptoms following consumption of tut</w:t>
      </w:r>
      <w:r w:rsidR="003007DC">
        <w:rPr>
          <w:rFonts w:cs="Arial"/>
        </w:rPr>
        <w:t>u</w:t>
      </w:r>
      <w:r w:rsidR="001A08D1" w:rsidRPr="001A08D1">
        <w:rPr>
          <w:rFonts w:cs="Arial"/>
        </w:rPr>
        <w:t xml:space="preserve"> honeydew honey have implications for the current tutin ML</w:t>
      </w:r>
      <w:r w:rsidR="00CB5E26">
        <w:rPr>
          <w:rFonts w:cs="Arial"/>
        </w:rPr>
        <w:t xml:space="preserve"> of 2 mg/kg</w:t>
      </w:r>
      <w:r w:rsidR="001A08D1" w:rsidRPr="001A08D1">
        <w:rPr>
          <w:rFonts w:cs="Arial"/>
        </w:rPr>
        <w:t>?</w:t>
      </w:r>
    </w:p>
    <w:p w:rsidR="00A128B3" w:rsidRPr="00A128B3" w:rsidRDefault="00A128B3" w:rsidP="00A128B3">
      <w:pPr>
        <w:rPr>
          <w:rFonts w:cs="Arial"/>
        </w:rPr>
      </w:pPr>
    </w:p>
    <w:p w:rsidR="00A128B3" w:rsidRDefault="005E2111" w:rsidP="00A128B3">
      <w:pPr>
        <w:ind w:left="567" w:hanging="567"/>
        <w:rPr>
          <w:rFonts w:cs="Arial"/>
        </w:rPr>
      </w:pPr>
      <w:r>
        <w:rPr>
          <w:rFonts w:cs="Arial"/>
        </w:rPr>
        <w:t>3</w:t>
      </w:r>
      <w:r w:rsidR="00A128B3" w:rsidRPr="00A128B3">
        <w:rPr>
          <w:rFonts w:cs="Arial"/>
        </w:rPr>
        <w:t>.</w:t>
      </w:r>
      <w:r w:rsidR="00A128B3" w:rsidRPr="00A128B3">
        <w:rPr>
          <w:rFonts w:cs="Arial"/>
        </w:rPr>
        <w:tab/>
      </w:r>
      <w:r w:rsidR="001B7853">
        <w:rPr>
          <w:rFonts w:cs="Arial"/>
        </w:rPr>
        <w:t xml:space="preserve">Does </w:t>
      </w:r>
      <w:r>
        <w:rPr>
          <w:rFonts w:cs="Arial"/>
        </w:rPr>
        <w:t xml:space="preserve">comb </w:t>
      </w:r>
      <w:r w:rsidR="00833728">
        <w:rPr>
          <w:rFonts w:cs="Arial"/>
        </w:rPr>
        <w:t xml:space="preserve">honey containing tutin </w:t>
      </w:r>
      <w:r w:rsidR="005970EB">
        <w:rPr>
          <w:rFonts w:cs="Arial"/>
        </w:rPr>
        <w:t xml:space="preserve">at </w:t>
      </w:r>
      <w:r w:rsidR="001B7853">
        <w:rPr>
          <w:rFonts w:cs="Arial"/>
        </w:rPr>
        <w:t>t</w:t>
      </w:r>
      <w:r>
        <w:rPr>
          <w:rFonts w:cs="Arial"/>
        </w:rPr>
        <w:t>he current ML of 0.1</w:t>
      </w:r>
      <w:r w:rsidR="007A0EC2">
        <w:rPr>
          <w:rFonts w:cs="Arial"/>
        </w:rPr>
        <w:t xml:space="preserve"> mg/kg pose a</w:t>
      </w:r>
      <w:r w:rsidR="001E001B">
        <w:rPr>
          <w:rFonts w:cs="Arial"/>
        </w:rPr>
        <w:t xml:space="preserve"> </w:t>
      </w:r>
      <w:r w:rsidR="001B7853">
        <w:rPr>
          <w:rFonts w:cs="Arial"/>
        </w:rPr>
        <w:t>health risk</w:t>
      </w:r>
      <w:r w:rsidR="00A128B3" w:rsidRPr="00A128B3">
        <w:rPr>
          <w:rFonts w:cs="Arial"/>
        </w:rPr>
        <w:t>?</w:t>
      </w:r>
    </w:p>
    <w:p w:rsidR="00A128B3" w:rsidRPr="00A128B3" w:rsidRDefault="00A128B3" w:rsidP="00C46C9B">
      <w:pPr>
        <w:pStyle w:val="Heading1"/>
      </w:pPr>
      <w:bookmarkStart w:id="13" w:name="_Toc360028603"/>
      <w:bookmarkStart w:id="14" w:name="_Toc401143911"/>
      <w:r>
        <w:t>2</w:t>
      </w:r>
      <w:r w:rsidR="00BD21BD">
        <w:t>.</w:t>
      </w:r>
      <w:r w:rsidR="00BD21BD">
        <w:tab/>
        <w:t xml:space="preserve">Hazard </w:t>
      </w:r>
      <w:bookmarkEnd w:id="13"/>
      <w:r w:rsidR="00BD21BD">
        <w:t>assessment</w:t>
      </w:r>
      <w:bookmarkEnd w:id="14"/>
    </w:p>
    <w:p w:rsidR="0090682B" w:rsidRDefault="0090682B" w:rsidP="00C46C9B">
      <w:pPr>
        <w:pStyle w:val="Heading2"/>
        <w:rPr>
          <w:rFonts w:eastAsiaTheme="majorEastAsia"/>
          <w:lang w:val="en-AU"/>
        </w:rPr>
      </w:pPr>
      <w:bookmarkStart w:id="15" w:name="_Toc401143912"/>
      <w:bookmarkStart w:id="16" w:name="_Toc360028604"/>
      <w:r>
        <w:rPr>
          <w:rFonts w:eastAsiaTheme="majorEastAsia"/>
          <w:lang w:val="en-AU"/>
        </w:rPr>
        <w:t>2.1</w:t>
      </w:r>
      <w:r>
        <w:rPr>
          <w:rFonts w:eastAsiaTheme="majorEastAsia"/>
          <w:lang w:val="en-AU"/>
        </w:rPr>
        <w:tab/>
        <w:t>Background</w:t>
      </w:r>
      <w:bookmarkEnd w:id="15"/>
    </w:p>
    <w:p w:rsidR="001B5378" w:rsidRDefault="00A84209" w:rsidP="00B656B9">
      <w:pPr>
        <w:rPr>
          <w:lang w:val="en-US"/>
        </w:rPr>
      </w:pPr>
      <w:r>
        <w:t xml:space="preserve">Tutin, </w:t>
      </w:r>
      <w:r w:rsidR="00FD3021" w:rsidRPr="00FD3021">
        <w:t xml:space="preserve">a </w:t>
      </w:r>
      <w:r>
        <w:t xml:space="preserve">plant-derived </w:t>
      </w:r>
      <w:r w:rsidR="00FD3021" w:rsidRPr="00FD3021">
        <w:t xml:space="preserve">neurotoxin, is a potential honey contaminant </w:t>
      </w:r>
      <w:r w:rsidR="00CE69BA">
        <w:t xml:space="preserve">associated with </w:t>
      </w:r>
      <w:r w:rsidR="00FD3021" w:rsidRPr="00FD3021">
        <w:t>human poisoning</w:t>
      </w:r>
      <w:r w:rsidR="00BD452D">
        <w:t>s</w:t>
      </w:r>
      <w:r w:rsidR="00FD3021" w:rsidRPr="00FD3021">
        <w:t xml:space="preserve"> in New Zealand since the late 19</w:t>
      </w:r>
      <w:r w:rsidR="00FD3021" w:rsidRPr="00FD3021">
        <w:rPr>
          <w:vertAlign w:val="superscript"/>
        </w:rPr>
        <w:t>th</w:t>
      </w:r>
      <w:r w:rsidR="0063365F">
        <w:t xml:space="preserve"> century (NZFSA</w:t>
      </w:r>
      <w:r w:rsidR="00FD3021" w:rsidRPr="00FD3021">
        <w:t xml:space="preserve"> 20</w:t>
      </w:r>
      <w:r w:rsidR="0063365F">
        <w:t>08; Goodwin 2013</w:t>
      </w:r>
      <w:r w:rsidR="00FD3021" w:rsidRPr="00FD3021">
        <w:t xml:space="preserve">). </w:t>
      </w:r>
      <w:r w:rsidR="001B5378" w:rsidRPr="00FD3021">
        <w:t xml:space="preserve">Toxic effects have been reported from the consumption of as little as </w:t>
      </w:r>
      <w:r w:rsidR="00E525F7">
        <w:t>5 g</w:t>
      </w:r>
      <w:r w:rsidR="001B5378" w:rsidRPr="00FD3021">
        <w:t xml:space="preserve"> of contaminated honey (Palmer-Jones 1947b).</w:t>
      </w:r>
      <w:r w:rsidR="001B5378">
        <w:t xml:space="preserve"> </w:t>
      </w:r>
      <w:r w:rsidR="001B5378" w:rsidRPr="001B5378">
        <w:rPr>
          <w:lang w:val="en-US"/>
        </w:rPr>
        <w:t>A number of</w:t>
      </w:r>
      <w:r w:rsidR="001B5378">
        <w:rPr>
          <w:lang w:val="en-US"/>
        </w:rPr>
        <w:t xml:space="preserve"> deaths have</w:t>
      </w:r>
      <w:r w:rsidR="001B5378" w:rsidRPr="001B5378">
        <w:rPr>
          <w:lang w:val="en-US"/>
        </w:rPr>
        <w:t xml:space="preserve"> been reported, however fatalities are rare with the most recent occurring in 1917.</w:t>
      </w:r>
      <w:r w:rsidR="001B5378">
        <w:rPr>
          <w:lang w:val="en-US"/>
        </w:rPr>
        <w:t xml:space="preserve"> </w:t>
      </w:r>
    </w:p>
    <w:p w:rsidR="001B5378" w:rsidRDefault="001B5378" w:rsidP="00B656B9">
      <w:pPr>
        <w:rPr>
          <w:lang w:val="en-US"/>
        </w:rPr>
      </w:pPr>
    </w:p>
    <w:p w:rsidR="00B656B9" w:rsidRPr="00BD452D" w:rsidRDefault="00FD3021" w:rsidP="00A96DAE">
      <w:r w:rsidRPr="00FD3021">
        <w:t xml:space="preserve">The most recent </w:t>
      </w:r>
      <w:r w:rsidR="001B5378">
        <w:t xml:space="preserve">poisoning </w:t>
      </w:r>
      <w:r w:rsidRPr="00FD3021">
        <w:t xml:space="preserve">incident occurred in </w:t>
      </w:r>
      <w:r w:rsidR="00B656B9">
        <w:t>early</w:t>
      </w:r>
      <w:r w:rsidRPr="00FD3021">
        <w:t xml:space="preserve"> 2008</w:t>
      </w:r>
      <w:r w:rsidR="001B5378">
        <w:t xml:space="preserve">, in which </w:t>
      </w:r>
      <w:r w:rsidRPr="00FD3021">
        <w:t xml:space="preserve">there were </w:t>
      </w:r>
      <w:r w:rsidR="00822B71" w:rsidRPr="00822B71">
        <w:t>11 confirmed</w:t>
      </w:r>
      <w:r w:rsidR="00A96DAE">
        <w:t>,</w:t>
      </w:r>
      <w:r w:rsidR="00822B71" w:rsidRPr="00822B71">
        <w:t xml:space="preserve"> 9 probable </w:t>
      </w:r>
      <w:r w:rsidR="00A96DAE">
        <w:t xml:space="preserve">and 2 possible </w:t>
      </w:r>
      <w:r w:rsidR="00822B71" w:rsidRPr="00822B71">
        <w:t xml:space="preserve">cases of </w:t>
      </w:r>
      <w:r w:rsidR="001B5378">
        <w:t xml:space="preserve">intoxication </w:t>
      </w:r>
      <w:r w:rsidR="00822B71">
        <w:t xml:space="preserve">attributed to </w:t>
      </w:r>
      <w:r w:rsidR="00822B71" w:rsidRPr="00822B71">
        <w:t xml:space="preserve">tutin </w:t>
      </w:r>
      <w:r w:rsidRPr="00FD3021">
        <w:t xml:space="preserve">with the main </w:t>
      </w:r>
      <w:r w:rsidR="00B656B9">
        <w:t xml:space="preserve">clinical signs and </w:t>
      </w:r>
      <w:r w:rsidRPr="00FD3021">
        <w:t xml:space="preserve">symptoms being </w:t>
      </w:r>
      <w:r w:rsidR="00B656B9">
        <w:t xml:space="preserve">nausea, headache, </w:t>
      </w:r>
      <w:r w:rsidR="00B656B9" w:rsidRPr="00FD3021">
        <w:t xml:space="preserve">vomiting </w:t>
      </w:r>
      <w:r w:rsidR="00B656B9">
        <w:t xml:space="preserve">and </w:t>
      </w:r>
      <w:r w:rsidR="00683BB1">
        <w:t xml:space="preserve">convulsions </w:t>
      </w:r>
      <w:r w:rsidRPr="00FD3021">
        <w:t>(</w:t>
      </w:r>
      <w:r w:rsidR="003E6730" w:rsidRPr="00FD3021">
        <w:t>NZFSA unpublished data</w:t>
      </w:r>
      <w:r w:rsidR="003E6730">
        <w:t>; Beasley 2008; Chancellor 2013</w:t>
      </w:r>
      <w:r w:rsidRPr="00FD3021">
        <w:t xml:space="preserve">). </w:t>
      </w:r>
      <w:r w:rsidR="00D93D77">
        <w:t xml:space="preserve">Confirmed cases </w:t>
      </w:r>
      <w:r w:rsidR="00D93D77" w:rsidRPr="00D93D77">
        <w:t>were defined as those</w:t>
      </w:r>
      <w:r w:rsidR="001169EA">
        <w:t xml:space="preserve"> who</w:t>
      </w:r>
      <w:r w:rsidR="00D93D77" w:rsidRPr="00D93D77">
        <w:t xml:space="preserve"> </w:t>
      </w:r>
      <w:r w:rsidR="001169EA">
        <w:lastRenderedPageBreak/>
        <w:t>experienced</w:t>
      </w:r>
      <w:r w:rsidR="00A96DAE">
        <w:t xml:space="preserve"> vomiting or any neurological </w:t>
      </w:r>
      <w:r w:rsidR="001169EA">
        <w:t>symptom</w:t>
      </w:r>
      <w:r w:rsidR="00A96DAE">
        <w:t xml:space="preserve"> within 24 hours of eating comb honey</w:t>
      </w:r>
      <w:r w:rsidR="001169EA">
        <w:t>,</w:t>
      </w:r>
      <w:r w:rsidR="00A96DAE">
        <w:t xml:space="preserve"> and </w:t>
      </w:r>
      <w:r w:rsidR="00D93D77" w:rsidRPr="00D93D77">
        <w:t xml:space="preserve">for which </w:t>
      </w:r>
      <w:r w:rsidR="00A96DAE">
        <w:t>analysis of</w:t>
      </w:r>
      <w:r w:rsidR="00D93D77" w:rsidRPr="00D93D77">
        <w:t xml:space="preserve"> </w:t>
      </w:r>
      <w:r w:rsidR="00A96DAE">
        <w:t xml:space="preserve">left over </w:t>
      </w:r>
      <w:r w:rsidR="00D93D77" w:rsidRPr="00D93D77">
        <w:t>honey conf</w:t>
      </w:r>
      <w:r w:rsidR="00573CEB">
        <w:t>irm</w:t>
      </w:r>
      <w:r w:rsidR="00A96DAE">
        <w:t>ed</w:t>
      </w:r>
      <w:r w:rsidR="00573CEB">
        <w:t xml:space="preserve"> the presence of tutin. P</w:t>
      </w:r>
      <w:r w:rsidR="00D93D77" w:rsidRPr="00D93D77">
        <w:t xml:space="preserve">robable cases </w:t>
      </w:r>
      <w:r w:rsidR="00573CEB">
        <w:t>were</w:t>
      </w:r>
      <w:r w:rsidR="00D93D77" w:rsidRPr="00D93D77">
        <w:t xml:space="preserve"> those which </w:t>
      </w:r>
      <w:r w:rsidR="00A96DAE">
        <w:t>experienced vomiting and</w:t>
      </w:r>
      <w:r w:rsidR="00A96DAE" w:rsidRPr="00A96DAE">
        <w:t xml:space="preserve"> any neurological symptom within 24 hours of eating comb honey</w:t>
      </w:r>
      <w:r w:rsidR="00D93D77" w:rsidRPr="00D93D77">
        <w:t xml:space="preserve">, </w:t>
      </w:r>
      <w:r w:rsidR="001169EA">
        <w:t>but</w:t>
      </w:r>
      <w:r w:rsidR="001169EA" w:rsidRPr="00D93D77">
        <w:t xml:space="preserve"> </w:t>
      </w:r>
      <w:r w:rsidR="00D93D77" w:rsidRPr="00D93D77">
        <w:t>for which no honey remained for analysis</w:t>
      </w:r>
      <w:r w:rsidR="001169EA">
        <w:t xml:space="preserve"> or tutin was not detected in remaining honey</w:t>
      </w:r>
      <w:r w:rsidR="00D93D77" w:rsidRPr="00D93D77">
        <w:t xml:space="preserve">. </w:t>
      </w:r>
      <w:r w:rsidR="00A96DAE">
        <w:t>Possible cases experienced vomiting or any neurological symptoms within</w:t>
      </w:r>
      <w:r w:rsidR="001169EA">
        <w:t xml:space="preserve"> </w:t>
      </w:r>
      <w:r w:rsidR="00A96DAE">
        <w:t>24 hours of eating comb honey</w:t>
      </w:r>
      <w:r w:rsidR="001169EA">
        <w:t>, but</w:t>
      </w:r>
      <w:r w:rsidR="001169EA" w:rsidRPr="001169EA">
        <w:t xml:space="preserve"> for which no honey remained for analysis or tutin was not detected in remaining honey</w:t>
      </w:r>
      <w:r w:rsidR="001169EA">
        <w:t xml:space="preserve">. </w:t>
      </w:r>
      <w:r w:rsidR="00B656B9">
        <w:t xml:space="preserve">Analysis of </w:t>
      </w:r>
      <w:r w:rsidR="00B656B9">
        <w:rPr>
          <w:bCs/>
        </w:rPr>
        <w:t>h</w:t>
      </w:r>
      <w:r w:rsidR="00B656B9" w:rsidRPr="00B656B9">
        <w:rPr>
          <w:bCs/>
        </w:rPr>
        <w:t xml:space="preserve">oney samples associated with the </w:t>
      </w:r>
      <w:r w:rsidR="00B656B9">
        <w:rPr>
          <w:bCs/>
        </w:rPr>
        <w:t>11 confirmed cases</w:t>
      </w:r>
      <w:r w:rsidR="00B656B9" w:rsidRPr="00B656B9">
        <w:rPr>
          <w:bCs/>
        </w:rPr>
        <w:t xml:space="preserve"> revealed the presence of tutin at levels ranging from approximately 30 to 50 mg per kg honey. Hyenanchin was present at levels approximately 6-times those of tutin (i.e. 180 to 300 mg/kg).</w:t>
      </w:r>
    </w:p>
    <w:p w:rsidR="0025482A" w:rsidRPr="00FD3021" w:rsidRDefault="0025482A" w:rsidP="00FD3021"/>
    <w:p w:rsidR="00FD3021" w:rsidRDefault="00E07016" w:rsidP="00C46C9B">
      <w:r>
        <w:t>Observations and e</w:t>
      </w:r>
      <w:r w:rsidR="0025482A" w:rsidRPr="00B656B9">
        <w:t>xperiments in the 1940s indicated that</w:t>
      </w:r>
      <w:r w:rsidR="0025482A">
        <w:t xml:space="preserve"> the tutu shrub</w:t>
      </w:r>
      <w:r w:rsidR="0025482A" w:rsidRPr="00B656B9">
        <w:t xml:space="preserve"> </w:t>
      </w:r>
      <w:r w:rsidR="0025482A" w:rsidRPr="00FD3021">
        <w:t>(</w:t>
      </w:r>
      <w:r w:rsidR="0025482A" w:rsidRPr="00FD3021">
        <w:rPr>
          <w:i/>
        </w:rPr>
        <w:t>Coriaria arborea</w:t>
      </w:r>
      <w:r w:rsidR="0025482A">
        <w:t xml:space="preserve">) </w:t>
      </w:r>
      <w:r w:rsidR="0025482A" w:rsidRPr="00B656B9">
        <w:t xml:space="preserve">is the source of tutin </w:t>
      </w:r>
      <w:r w:rsidR="00FE451A">
        <w:t xml:space="preserve">in </w:t>
      </w:r>
      <w:r w:rsidR="00FE451A" w:rsidRPr="00F97515">
        <w:t>honey</w:t>
      </w:r>
      <w:r w:rsidR="00032992" w:rsidRPr="00EC675A">
        <w:t xml:space="preserve"> (Sutherland and Palmer-Jones1947a; Palmer-Jones 1965)</w:t>
      </w:r>
      <w:r w:rsidR="00FE451A" w:rsidRPr="00F97515">
        <w:t>,</w:t>
      </w:r>
      <w:r w:rsidR="00FE451A">
        <w:t xml:space="preserve"> and that</w:t>
      </w:r>
      <w:r w:rsidR="0025482A">
        <w:t xml:space="preserve"> </w:t>
      </w:r>
      <w:r w:rsidR="00FE451A">
        <w:t>t</w:t>
      </w:r>
      <w:r w:rsidR="001B5378" w:rsidRPr="00FD3021">
        <w:t xml:space="preserve">utin contamination of honey occurs when bees gather honeydew from an insect that feeds on </w:t>
      </w:r>
      <w:r w:rsidR="001B5378">
        <w:t xml:space="preserve">tutu </w:t>
      </w:r>
      <w:r w:rsidR="001B5378" w:rsidRPr="00FD3021">
        <w:t>sap</w:t>
      </w:r>
      <w:r w:rsidR="00400A91">
        <w:t xml:space="preserve"> (Paterson 1947)</w:t>
      </w:r>
      <w:r w:rsidR="001B5378" w:rsidRPr="00FD3021">
        <w:t>. The insect, a vine hopper (</w:t>
      </w:r>
      <w:r w:rsidR="001B5378" w:rsidRPr="00FD3021">
        <w:rPr>
          <w:i/>
        </w:rPr>
        <w:t>Scolypopa australis</w:t>
      </w:r>
      <w:r w:rsidR="001B5378" w:rsidRPr="00FD3021">
        <w:t xml:space="preserve">) native to Australia, is thought to have been introduced into New Zealand before 1870 (Palmer-Jones 1965). </w:t>
      </w:r>
      <w:r w:rsidR="001B5378">
        <w:t xml:space="preserve">A </w:t>
      </w:r>
      <w:r w:rsidR="00B656B9" w:rsidRPr="00B656B9">
        <w:t xml:space="preserve">large fraction of the tutin ingested by </w:t>
      </w:r>
      <w:r w:rsidR="00B656B9" w:rsidRPr="00B656B9">
        <w:rPr>
          <w:i/>
        </w:rPr>
        <w:t>S. australis</w:t>
      </w:r>
      <w:r w:rsidR="00B656B9" w:rsidRPr="00B656B9">
        <w:t xml:space="preserve"> is metabolised to 4-hydroxy-tutin (“hyenanchin”) which is found in the resulting honey along with tutin</w:t>
      </w:r>
      <w:r w:rsidR="0064553C">
        <w:t xml:space="preserve"> (</w:t>
      </w:r>
      <w:r w:rsidR="002B46DA">
        <w:t xml:space="preserve">Sutherland and Palmer-Jones, 1947b; </w:t>
      </w:r>
      <w:r w:rsidR="0064553C">
        <w:t>Hodges and White 1966; Perry et al 2001)</w:t>
      </w:r>
      <w:r w:rsidR="00B656B9" w:rsidRPr="00B656B9">
        <w:t>.</w:t>
      </w:r>
      <w:r w:rsidR="001B5378">
        <w:t xml:space="preserve"> S</w:t>
      </w:r>
      <w:r w:rsidR="00FD3021" w:rsidRPr="00FD3021">
        <w:t xml:space="preserve">tudies in mice </w:t>
      </w:r>
      <w:r w:rsidR="002C6C17">
        <w:t xml:space="preserve">have </w:t>
      </w:r>
      <w:r w:rsidR="00FD3021" w:rsidRPr="00FD3021">
        <w:t>indicate</w:t>
      </w:r>
      <w:r w:rsidR="002C6C17">
        <w:t>d</w:t>
      </w:r>
      <w:r w:rsidR="00FD3021" w:rsidRPr="00FD3021">
        <w:t xml:space="preserve"> that hyenanchin is significantly less acutely toxic than tutin</w:t>
      </w:r>
      <w:r w:rsidR="00FD3021" w:rsidRPr="00FD3021">
        <w:rPr>
          <w:bCs/>
          <w:iCs/>
        </w:rPr>
        <w:t xml:space="preserve"> (McNaughton and Goodwin 2008)</w:t>
      </w:r>
      <w:r w:rsidR="00FD3021" w:rsidRPr="00FD3021">
        <w:t xml:space="preserve">. </w:t>
      </w:r>
    </w:p>
    <w:p w:rsidR="00F702B5" w:rsidRDefault="00F702B5"/>
    <w:p w:rsidR="00D93D77" w:rsidRDefault="00D93D77">
      <w:r w:rsidRPr="00D93D77">
        <w:t>In the late 1970s, analysis of a sample of toxic honey showed the presence of dihydro-derivatives of tutin and hyenanchin, at levels 8-fold lower than those of tut</w:t>
      </w:r>
      <w:r>
        <w:t>in and hyenanchin (Blunt et al</w:t>
      </w:r>
      <w:r w:rsidRPr="00D93D77">
        <w:t xml:space="preserve"> 1979); however, no toxicity information is available on the</w:t>
      </w:r>
      <w:r>
        <w:t>se</w:t>
      </w:r>
      <w:r w:rsidRPr="00D93D77">
        <w:t xml:space="preserve"> dihydro-derivatives. Since that publication, no other compounds related to tutin and hyenanchin, or other chemically unrelated potential toxins in tutu honeydew honey have been reported.</w:t>
      </w:r>
    </w:p>
    <w:p w:rsidR="00D93D77" w:rsidRDefault="00D93D77"/>
    <w:p w:rsidR="00FD3021" w:rsidRDefault="00FD3021">
      <w:pPr>
        <w:rPr>
          <w:rFonts w:eastAsiaTheme="majorEastAsia"/>
          <w:lang w:val="en-AU"/>
        </w:rPr>
      </w:pPr>
      <w:r w:rsidRPr="00FD3021">
        <w:t xml:space="preserve">There are 8 species of </w:t>
      </w:r>
      <w:r w:rsidRPr="00FD3021">
        <w:rPr>
          <w:i/>
        </w:rPr>
        <w:t>Coriaria</w:t>
      </w:r>
      <w:r w:rsidRPr="00FD3021">
        <w:t xml:space="preserve"> endemic to New Zealand with </w:t>
      </w:r>
      <w:r w:rsidRPr="00FD3021">
        <w:rPr>
          <w:i/>
        </w:rPr>
        <w:t>Coriaria arborea</w:t>
      </w:r>
      <w:r w:rsidRPr="00FD3021">
        <w:t xml:space="preserve"> the largest (up to 8 m) and most widespread. It is not known whether the other </w:t>
      </w:r>
      <w:r w:rsidRPr="00FD3021">
        <w:rPr>
          <w:i/>
        </w:rPr>
        <w:t>Coriaria</w:t>
      </w:r>
      <w:r w:rsidRPr="00FD3021">
        <w:t xml:space="preserve"> species that grow in New Zealand contain tutin and may therefore contribute to tutin contamination of honey. Tutin is present in </w:t>
      </w:r>
      <w:r w:rsidRPr="00FD3021">
        <w:rPr>
          <w:i/>
        </w:rPr>
        <w:t>Coriaria</w:t>
      </w:r>
      <w:r w:rsidRPr="00FD3021">
        <w:t xml:space="preserve"> species that grow in other parts of the world, for example the Asian </w:t>
      </w:r>
      <w:r w:rsidRPr="00FD3021">
        <w:rPr>
          <w:i/>
        </w:rPr>
        <w:t>Coriaria nepalensis</w:t>
      </w:r>
      <w:r w:rsidRPr="00FD3021">
        <w:t xml:space="preserve"> (Wei et al 1998) and</w:t>
      </w:r>
      <w:r w:rsidRPr="00FD3021">
        <w:rPr>
          <w:i/>
        </w:rPr>
        <w:t xml:space="preserve"> Coriaria japonica</w:t>
      </w:r>
      <w:r w:rsidRPr="00FD3021">
        <w:t xml:space="preserve"> (Ki</w:t>
      </w:r>
      <w:r w:rsidR="00E634D4">
        <w:t>noshi</w:t>
      </w:r>
      <w:r w:rsidRPr="00FD3021">
        <w:t xml:space="preserve">ta et al 2005), and the South American </w:t>
      </w:r>
      <w:r w:rsidRPr="00FD3021">
        <w:rPr>
          <w:i/>
        </w:rPr>
        <w:t>Coriaria ruscifolia</w:t>
      </w:r>
      <w:r w:rsidRPr="00FD3021">
        <w:t xml:space="preserve"> (Fuentealba et al 2007). The root of</w:t>
      </w:r>
      <w:r w:rsidRPr="00FD3021">
        <w:rPr>
          <w:i/>
        </w:rPr>
        <w:t xml:space="preserve"> Coriaria nepalensis</w:t>
      </w:r>
      <w:r w:rsidRPr="00FD3021">
        <w:t xml:space="preserve">, also known as </w:t>
      </w:r>
      <w:r w:rsidRPr="00FD3021">
        <w:rPr>
          <w:i/>
        </w:rPr>
        <w:t>Coriaria sinica</w:t>
      </w:r>
      <w:r w:rsidRPr="00FD3021">
        <w:t xml:space="preserve"> Maxim, is used as a Chinese herbal medicine and contains tutin along with the related compounds apotutin, coriamyrtin, coriatin, hydroxycoriatin, coriatone and corianlactone (We</w:t>
      </w:r>
      <w:r w:rsidR="0061384B">
        <w:t>i et al 1998; Shen et al 2004).</w:t>
      </w:r>
    </w:p>
    <w:p w:rsidR="001E2B1A" w:rsidRDefault="001E2B1A" w:rsidP="00BC4D1D">
      <w:pPr>
        <w:pStyle w:val="Heading3"/>
      </w:pPr>
      <w:bookmarkStart w:id="17" w:name="_Toc401143913"/>
      <w:r>
        <w:t>2.1.1</w:t>
      </w:r>
      <w:r w:rsidR="00307A70">
        <w:tab/>
        <w:t>Assessments by other a</w:t>
      </w:r>
      <w:r w:rsidRPr="0090682B">
        <w:t>gencies</w:t>
      </w:r>
      <w:bookmarkEnd w:id="17"/>
    </w:p>
    <w:p w:rsidR="001E2B1A" w:rsidRDefault="009406D6" w:rsidP="001E2B1A">
      <w:pPr>
        <w:rPr>
          <w:rFonts w:eastAsiaTheme="majorEastAsia"/>
          <w:lang w:val="en-AU"/>
        </w:rPr>
      </w:pPr>
      <w:r>
        <w:rPr>
          <w:rFonts w:eastAsiaTheme="majorEastAsia"/>
          <w:lang w:val="en-AU"/>
        </w:rPr>
        <w:t>In 2008, t</w:t>
      </w:r>
      <w:r w:rsidR="001E2B1A">
        <w:rPr>
          <w:rFonts w:eastAsiaTheme="majorEastAsia"/>
          <w:lang w:val="en-AU"/>
        </w:rPr>
        <w:t xml:space="preserve">he New Zealand Food Safety Authority (NZFSA) conducted a hazard assessment of tutin and established </w:t>
      </w:r>
      <w:r w:rsidR="00FD3021">
        <w:rPr>
          <w:rFonts w:eastAsiaTheme="majorEastAsia"/>
          <w:lang w:val="en-AU"/>
        </w:rPr>
        <w:t xml:space="preserve">an Acute Reference Dose </w:t>
      </w:r>
      <w:r w:rsidR="00784710">
        <w:rPr>
          <w:rFonts w:eastAsiaTheme="majorEastAsia"/>
          <w:lang w:val="en-AU"/>
        </w:rPr>
        <w:t xml:space="preserve">(ARfD) </w:t>
      </w:r>
      <w:r w:rsidR="00FD3021">
        <w:rPr>
          <w:rFonts w:eastAsiaTheme="majorEastAsia"/>
          <w:lang w:val="en-AU"/>
        </w:rPr>
        <w:t>of 2.5 </w:t>
      </w:r>
      <w:r w:rsidR="00FD3021">
        <w:rPr>
          <w:rFonts w:eastAsiaTheme="majorEastAsia" w:cs="Arial"/>
          <w:lang w:val="en-AU"/>
        </w:rPr>
        <w:t>µ</w:t>
      </w:r>
      <w:r w:rsidR="00FD3021">
        <w:rPr>
          <w:rFonts w:eastAsiaTheme="majorEastAsia"/>
          <w:lang w:val="en-AU"/>
        </w:rPr>
        <w:t>g per kg bodyweight (bw)</w:t>
      </w:r>
      <w:r w:rsidR="00A214CB">
        <w:rPr>
          <w:rFonts w:eastAsiaTheme="majorEastAsia"/>
          <w:lang w:val="en-AU"/>
        </w:rPr>
        <w:t xml:space="preserve">. The ARfD was derived from a </w:t>
      </w:r>
      <w:r w:rsidR="0052174B">
        <w:rPr>
          <w:rFonts w:eastAsiaTheme="majorEastAsia"/>
          <w:lang w:val="en-AU"/>
        </w:rPr>
        <w:t xml:space="preserve">mouse toxicity </w:t>
      </w:r>
      <w:r w:rsidR="00A214CB">
        <w:rPr>
          <w:rFonts w:eastAsiaTheme="majorEastAsia"/>
          <w:lang w:val="en-AU"/>
        </w:rPr>
        <w:t>study in which no adverse effects were obse</w:t>
      </w:r>
      <w:r w:rsidR="00FE451A">
        <w:rPr>
          <w:rFonts w:eastAsiaTheme="majorEastAsia"/>
          <w:lang w:val="en-AU"/>
        </w:rPr>
        <w:t>rved at a dose of 0.25 mg/kg bw</w:t>
      </w:r>
      <w:r w:rsidR="00570A43">
        <w:rPr>
          <w:rFonts w:eastAsiaTheme="majorEastAsia"/>
          <w:lang w:val="en-AU"/>
        </w:rPr>
        <w:t xml:space="preserve"> (Munday 2008a; </w:t>
      </w:r>
      <w:r w:rsidR="00E634D4">
        <w:rPr>
          <w:rFonts w:eastAsiaTheme="majorEastAsia"/>
          <w:lang w:val="en-AU"/>
        </w:rPr>
        <w:t>see Section 2.2.3</w:t>
      </w:r>
      <w:r w:rsidR="00570A43">
        <w:rPr>
          <w:rFonts w:eastAsiaTheme="majorEastAsia"/>
          <w:lang w:val="en-AU"/>
        </w:rPr>
        <w:t xml:space="preserve"> below)</w:t>
      </w:r>
      <w:r w:rsidR="00FE451A">
        <w:rPr>
          <w:rFonts w:eastAsiaTheme="majorEastAsia"/>
          <w:lang w:val="en-AU"/>
        </w:rPr>
        <w:t>.</w:t>
      </w:r>
      <w:r w:rsidR="00A214CB">
        <w:rPr>
          <w:rFonts w:eastAsiaTheme="majorEastAsia"/>
          <w:lang w:val="en-AU"/>
        </w:rPr>
        <w:t xml:space="preserve"> </w:t>
      </w:r>
      <w:r w:rsidR="00FE451A">
        <w:rPr>
          <w:rFonts w:eastAsiaTheme="majorEastAsia"/>
          <w:lang w:val="en-AU"/>
        </w:rPr>
        <w:t>A</w:t>
      </w:r>
      <w:r w:rsidR="00AD70EA">
        <w:rPr>
          <w:rFonts w:eastAsiaTheme="majorEastAsia"/>
          <w:lang w:val="en-AU"/>
        </w:rPr>
        <w:t xml:space="preserve"> </w:t>
      </w:r>
      <w:r w:rsidR="00A214CB">
        <w:rPr>
          <w:rFonts w:eastAsiaTheme="majorEastAsia"/>
          <w:lang w:val="en-AU"/>
        </w:rPr>
        <w:t xml:space="preserve">100-fold uncertainty factor </w:t>
      </w:r>
      <w:r w:rsidR="00FE451A">
        <w:rPr>
          <w:rFonts w:eastAsiaTheme="majorEastAsia"/>
          <w:lang w:val="en-AU"/>
        </w:rPr>
        <w:t xml:space="preserve">was applied to this no observed adverse effect level (NOAEL) to derive the ARfD </w:t>
      </w:r>
      <w:r w:rsidR="0063365F">
        <w:rPr>
          <w:rFonts w:eastAsiaTheme="majorEastAsia"/>
          <w:lang w:val="en-AU"/>
        </w:rPr>
        <w:t>(NZFSA 2008</w:t>
      </w:r>
      <w:r w:rsidR="00FD3021">
        <w:rPr>
          <w:rFonts w:eastAsiaTheme="majorEastAsia"/>
          <w:lang w:val="en-AU"/>
        </w:rPr>
        <w:t>).</w:t>
      </w:r>
    </w:p>
    <w:p w:rsidR="0090682B" w:rsidRPr="00C46C9B" w:rsidRDefault="001E2B1A" w:rsidP="00BC4D1D">
      <w:pPr>
        <w:pStyle w:val="Heading3"/>
        <w:rPr>
          <w:szCs w:val="24"/>
        </w:rPr>
      </w:pPr>
      <w:bookmarkStart w:id="18" w:name="_Toc401143914"/>
      <w:r>
        <w:lastRenderedPageBreak/>
        <w:t>2.1.2</w:t>
      </w:r>
      <w:r w:rsidR="0090682B">
        <w:tab/>
        <w:t>Chemistry</w:t>
      </w:r>
      <w:bookmarkEnd w:id="18"/>
      <w:r w:rsidR="00E435CE">
        <w:t xml:space="preserve"> </w:t>
      </w:r>
    </w:p>
    <w:tbl>
      <w:tblPr>
        <w:tblStyle w:val="TableGrid"/>
        <w:tblW w:w="0" w:type="auto"/>
        <w:tblLook w:val="04A0" w:firstRow="1" w:lastRow="0" w:firstColumn="1" w:lastColumn="0" w:noHBand="0" w:noVBand="1"/>
      </w:tblPr>
      <w:tblGrid>
        <w:gridCol w:w="2376"/>
        <w:gridCol w:w="6866"/>
      </w:tblGrid>
      <w:tr w:rsidR="001E2B1A" w:rsidTr="00FD3021">
        <w:tc>
          <w:tcPr>
            <w:tcW w:w="2376" w:type="dxa"/>
          </w:tcPr>
          <w:p w:rsidR="001E2B1A" w:rsidRDefault="001E2B1A" w:rsidP="00FD3021">
            <w:pPr>
              <w:spacing w:before="40" w:after="40"/>
            </w:pPr>
            <w:r w:rsidRPr="00954ED4">
              <w:t>Structural formula</w:t>
            </w:r>
            <w:r>
              <w:t>:</w:t>
            </w:r>
          </w:p>
        </w:tc>
        <w:tc>
          <w:tcPr>
            <w:tcW w:w="6866" w:type="dxa"/>
          </w:tcPr>
          <w:p w:rsidR="001E2B1A" w:rsidRDefault="00054A18" w:rsidP="00FD3021">
            <w:pPr>
              <w:spacing w:before="40" w:after="40"/>
            </w:pPr>
            <w:r>
              <w:rPr>
                <w:noProof/>
                <w:lang w:eastAsia="en-GB" w:bidi="ar-SA"/>
              </w:rPr>
              <w:drawing>
                <wp:inline distT="0" distB="0" distL="0" distR="0" wp14:anchorId="458D9AA6" wp14:editId="6472A938">
                  <wp:extent cx="2066925" cy="24511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66925" cy="2451100"/>
                          </a:xfrm>
                          <a:prstGeom prst="rect">
                            <a:avLst/>
                          </a:prstGeom>
                          <a:noFill/>
                        </pic:spPr>
                      </pic:pic>
                    </a:graphicData>
                  </a:graphic>
                </wp:inline>
              </w:drawing>
            </w:r>
          </w:p>
        </w:tc>
      </w:tr>
      <w:tr w:rsidR="001E2B1A" w:rsidTr="00FD3021">
        <w:trPr>
          <w:trHeight w:val="283"/>
        </w:trPr>
        <w:tc>
          <w:tcPr>
            <w:tcW w:w="2376" w:type="dxa"/>
          </w:tcPr>
          <w:p w:rsidR="001E2B1A" w:rsidRDefault="001E2B1A" w:rsidP="00FD3021">
            <w:pPr>
              <w:spacing w:before="40" w:after="40"/>
            </w:pPr>
            <w:r w:rsidRPr="00A128B3">
              <w:t>Common name:</w:t>
            </w:r>
            <w:r w:rsidRPr="00A128B3">
              <w:tab/>
            </w:r>
          </w:p>
        </w:tc>
        <w:tc>
          <w:tcPr>
            <w:tcW w:w="6866" w:type="dxa"/>
          </w:tcPr>
          <w:p w:rsidR="001E2B1A" w:rsidRDefault="001E2B1A" w:rsidP="00FD3021">
            <w:pPr>
              <w:spacing w:before="40" w:after="40"/>
            </w:pPr>
            <w:r w:rsidRPr="00A128B3">
              <w:t>Tutin</w:t>
            </w:r>
          </w:p>
        </w:tc>
      </w:tr>
      <w:tr w:rsidR="001E2B1A" w:rsidTr="00FD3021">
        <w:tc>
          <w:tcPr>
            <w:tcW w:w="2376" w:type="dxa"/>
          </w:tcPr>
          <w:p w:rsidR="001E2B1A" w:rsidRDefault="001E2B1A" w:rsidP="00FD3021">
            <w:pPr>
              <w:spacing w:before="40" w:after="40"/>
            </w:pPr>
            <w:r w:rsidRPr="00A128B3">
              <w:t>Systematic name:</w:t>
            </w:r>
          </w:p>
        </w:tc>
        <w:tc>
          <w:tcPr>
            <w:tcW w:w="6866" w:type="dxa"/>
          </w:tcPr>
          <w:p w:rsidR="001E2B1A" w:rsidRDefault="001E2B1A" w:rsidP="00FD3021">
            <w:pPr>
              <w:spacing w:before="40" w:after="40"/>
            </w:pPr>
            <w:r w:rsidRPr="00A128B3">
              <w:t>(7R,8R)-1aβ,1b,5,6,6a,7aβ-Hexahydro-1bα,6β-dihydroxy-6aα-methyl-8-(1-methylethenyl)spiro[2α,5α-methano-7H-oxireno[3,4]cyclopent[1,2-d]oxepine-7,2'-oxiran]-3(2H)-one</w:t>
            </w:r>
          </w:p>
        </w:tc>
      </w:tr>
      <w:tr w:rsidR="001E2B1A" w:rsidTr="00FD3021">
        <w:tc>
          <w:tcPr>
            <w:tcW w:w="2376" w:type="dxa"/>
          </w:tcPr>
          <w:p w:rsidR="001E2B1A" w:rsidRDefault="001E2B1A" w:rsidP="00FD3021">
            <w:pPr>
              <w:spacing w:before="40" w:after="40"/>
            </w:pPr>
            <w:r w:rsidRPr="00A128B3">
              <w:t>Chemical formula:</w:t>
            </w:r>
          </w:p>
        </w:tc>
        <w:tc>
          <w:tcPr>
            <w:tcW w:w="6866" w:type="dxa"/>
          </w:tcPr>
          <w:p w:rsidR="001E2B1A" w:rsidRDefault="001E2B1A" w:rsidP="00FD3021">
            <w:pPr>
              <w:spacing w:before="40" w:after="40"/>
            </w:pPr>
            <w:r w:rsidRPr="00A128B3">
              <w:t>C</w:t>
            </w:r>
            <w:r w:rsidRPr="00A128B3">
              <w:rPr>
                <w:vertAlign w:val="subscript"/>
              </w:rPr>
              <w:t>15</w:t>
            </w:r>
            <w:r w:rsidRPr="00A128B3">
              <w:t>H</w:t>
            </w:r>
            <w:r w:rsidRPr="00A128B3">
              <w:rPr>
                <w:vertAlign w:val="subscript"/>
              </w:rPr>
              <w:t>18</w:t>
            </w:r>
            <w:r w:rsidRPr="00A128B3">
              <w:t>O</w:t>
            </w:r>
            <w:r w:rsidRPr="00A128B3">
              <w:rPr>
                <w:vertAlign w:val="subscript"/>
              </w:rPr>
              <w:t>6</w:t>
            </w:r>
          </w:p>
        </w:tc>
      </w:tr>
      <w:tr w:rsidR="001E2B1A" w:rsidTr="00FD3021">
        <w:tc>
          <w:tcPr>
            <w:tcW w:w="2376" w:type="dxa"/>
          </w:tcPr>
          <w:p w:rsidR="001E2B1A" w:rsidRDefault="001E2B1A" w:rsidP="00FD3021">
            <w:pPr>
              <w:spacing w:before="40" w:after="40"/>
            </w:pPr>
            <w:r w:rsidRPr="00A128B3">
              <w:t>Molecular mass:</w:t>
            </w:r>
            <w:r w:rsidRPr="00A128B3">
              <w:tab/>
            </w:r>
          </w:p>
        </w:tc>
        <w:tc>
          <w:tcPr>
            <w:tcW w:w="6866" w:type="dxa"/>
          </w:tcPr>
          <w:p w:rsidR="001E2B1A" w:rsidRDefault="001E2B1A" w:rsidP="00FD3021">
            <w:pPr>
              <w:spacing w:before="40" w:after="40"/>
            </w:pPr>
            <w:r w:rsidRPr="00A128B3">
              <w:t>294.30</w:t>
            </w:r>
          </w:p>
        </w:tc>
      </w:tr>
      <w:tr w:rsidR="001E2B1A" w:rsidTr="00FD3021">
        <w:tc>
          <w:tcPr>
            <w:tcW w:w="2376" w:type="dxa"/>
          </w:tcPr>
          <w:p w:rsidR="001E2B1A" w:rsidRDefault="001E2B1A" w:rsidP="00FD3021">
            <w:pPr>
              <w:spacing w:before="40" w:after="40"/>
            </w:pPr>
            <w:r w:rsidRPr="00A128B3">
              <w:t>CAS number:</w:t>
            </w:r>
          </w:p>
        </w:tc>
        <w:tc>
          <w:tcPr>
            <w:tcW w:w="6866" w:type="dxa"/>
          </w:tcPr>
          <w:p w:rsidR="001E2B1A" w:rsidRDefault="001E2B1A" w:rsidP="00FD3021">
            <w:pPr>
              <w:spacing w:before="40" w:after="40"/>
            </w:pPr>
            <w:r w:rsidRPr="00A128B3">
              <w:t>2571-22-4</w:t>
            </w:r>
          </w:p>
        </w:tc>
      </w:tr>
    </w:tbl>
    <w:p w:rsidR="00FD3021" w:rsidRPr="00C46C9B" w:rsidRDefault="0090682B" w:rsidP="00BC4D1D">
      <w:pPr>
        <w:pStyle w:val="Heading3"/>
      </w:pPr>
      <w:bookmarkStart w:id="19" w:name="_Toc401143915"/>
      <w:r>
        <w:t>2.1.3</w:t>
      </w:r>
      <w:r>
        <w:tab/>
      </w:r>
      <w:r w:rsidRPr="0090682B">
        <w:t>Scope of</w:t>
      </w:r>
      <w:r w:rsidR="00307A70">
        <w:t xml:space="preserve"> the hazard a</w:t>
      </w:r>
      <w:r w:rsidRPr="0090682B">
        <w:t>ssessment</w:t>
      </w:r>
      <w:bookmarkEnd w:id="19"/>
    </w:p>
    <w:p w:rsidR="00FD3021" w:rsidRPr="00FD3021" w:rsidRDefault="00FD3021" w:rsidP="00FD3021">
      <w:pPr>
        <w:rPr>
          <w:rFonts w:cs="Arial"/>
        </w:rPr>
      </w:pPr>
      <w:r w:rsidRPr="00FD3021">
        <w:rPr>
          <w:rFonts w:cs="Arial"/>
        </w:rPr>
        <w:t xml:space="preserve">FSANZ </w:t>
      </w:r>
      <w:r w:rsidR="00492832" w:rsidRPr="00FD3021">
        <w:rPr>
          <w:rFonts w:cs="Arial"/>
        </w:rPr>
        <w:t>ha</w:t>
      </w:r>
      <w:r w:rsidR="00492832">
        <w:rPr>
          <w:rFonts w:cs="Arial"/>
        </w:rPr>
        <w:t>d</w:t>
      </w:r>
      <w:r w:rsidR="00492832" w:rsidRPr="00FD3021">
        <w:rPr>
          <w:rFonts w:cs="Arial"/>
        </w:rPr>
        <w:t xml:space="preserve"> </w:t>
      </w:r>
      <w:r w:rsidRPr="00FD3021">
        <w:rPr>
          <w:rFonts w:cs="Arial"/>
        </w:rPr>
        <w:t xml:space="preserve">not previously </w:t>
      </w:r>
      <w:r w:rsidR="0073094F">
        <w:rPr>
          <w:rFonts w:cs="Arial"/>
        </w:rPr>
        <w:t>conducted a hazard assessment</w:t>
      </w:r>
      <w:r w:rsidRPr="00FD3021">
        <w:rPr>
          <w:rFonts w:cs="Arial"/>
        </w:rPr>
        <w:t xml:space="preserve"> of </w:t>
      </w:r>
      <w:r w:rsidR="0070065B">
        <w:rPr>
          <w:rFonts w:cs="Arial"/>
        </w:rPr>
        <w:t>tutin</w:t>
      </w:r>
      <w:r w:rsidRPr="00FD3021">
        <w:rPr>
          <w:rFonts w:cs="Arial"/>
        </w:rPr>
        <w:t>. Therefore, the aims of the current assessment were to:</w:t>
      </w:r>
    </w:p>
    <w:p w:rsidR="00FD3021" w:rsidRPr="00FD3021" w:rsidRDefault="00FD3021" w:rsidP="00FD3021">
      <w:pPr>
        <w:rPr>
          <w:rFonts w:cs="Arial"/>
        </w:rPr>
      </w:pPr>
    </w:p>
    <w:p w:rsidR="008223F6" w:rsidRDefault="00E435CE" w:rsidP="00C46C9B">
      <w:pPr>
        <w:widowControl/>
        <w:numPr>
          <w:ilvl w:val="0"/>
          <w:numId w:val="9"/>
        </w:numPr>
        <w:ind w:left="567" w:hanging="567"/>
        <w:contextualSpacing/>
        <w:rPr>
          <w:rFonts w:cs="Arial"/>
        </w:rPr>
      </w:pPr>
      <w:r>
        <w:rPr>
          <w:rFonts w:cs="Arial"/>
        </w:rPr>
        <w:t xml:space="preserve">Evaluate </w:t>
      </w:r>
      <w:r w:rsidR="00FD3021" w:rsidRPr="00FD3021">
        <w:rPr>
          <w:rFonts w:cs="Arial"/>
        </w:rPr>
        <w:t xml:space="preserve">data </w:t>
      </w:r>
      <w:r w:rsidR="0002691C">
        <w:rPr>
          <w:rFonts w:cs="Arial"/>
        </w:rPr>
        <w:t>relevant</w:t>
      </w:r>
      <w:r w:rsidR="0002691C" w:rsidRPr="00FD3021">
        <w:rPr>
          <w:rFonts w:cs="Arial"/>
        </w:rPr>
        <w:t xml:space="preserve"> </w:t>
      </w:r>
      <w:r w:rsidR="0002691C">
        <w:rPr>
          <w:rFonts w:cs="Arial"/>
        </w:rPr>
        <w:t xml:space="preserve">to the hazard assessment </w:t>
      </w:r>
      <w:r w:rsidR="00FD3021" w:rsidRPr="00FD3021">
        <w:rPr>
          <w:rFonts w:cs="Arial"/>
        </w:rPr>
        <w:t xml:space="preserve">of </w:t>
      </w:r>
      <w:r w:rsidR="00FD3021">
        <w:rPr>
          <w:rFonts w:cs="Arial"/>
        </w:rPr>
        <w:t>tutin</w:t>
      </w:r>
      <w:r w:rsidR="000A51E0">
        <w:rPr>
          <w:rFonts w:cs="Arial"/>
        </w:rPr>
        <w:t>;</w:t>
      </w:r>
    </w:p>
    <w:p w:rsidR="008223F6" w:rsidRDefault="008223F6" w:rsidP="00C46C9B">
      <w:pPr>
        <w:widowControl/>
        <w:ind w:left="567"/>
        <w:contextualSpacing/>
        <w:rPr>
          <w:rFonts w:cs="Arial"/>
        </w:rPr>
      </w:pPr>
    </w:p>
    <w:p w:rsidR="00FD3021" w:rsidRDefault="008223F6" w:rsidP="00C46C9B">
      <w:pPr>
        <w:widowControl/>
        <w:numPr>
          <w:ilvl w:val="0"/>
          <w:numId w:val="9"/>
        </w:numPr>
        <w:ind w:left="567" w:hanging="567"/>
        <w:contextualSpacing/>
        <w:rPr>
          <w:rFonts w:cs="Arial"/>
        </w:rPr>
      </w:pPr>
      <w:r>
        <w:rPr>
          <w:rFonts w:cs="Arial"/>
        </w:rPr>
        <w:t xml:space="preserve">Evaluate data </w:t>
      </w:r>
      <w:r w:rsidR="0002691C">
        <w:rPr>
          <w:rFonts w:cs="Arial"/>
        </w:rPr>
        <w:t>relevant to the hazard assessment of</w:t>
      </w:r>
      <w:r>
        <w:rPr>
          <w:rFonts w:cs="Arial"/>
        </w:rPr>
        <w:t xml:space="preserve"> </w:t>
      </w:r>
      <w:r w:rsidR="0002691C">
        <w:rPr>
          <w:rFonts w:cs="Arial"/>
        </w:rPr>
        <w:t>substances related to tutin that have been detected in honey</w:t>
      </w:r>
      <w:r w:rsidR="00C4577E">
        <w:rPr>
          <w:rFonts w:cs="Arial"/>
        </w:rPr>
        <w:t>.</w:t>
      </w:r>
      <w:r w:rsidR="00FD3021" w:rsidRPr="00FD3021">
        <w:rPr>
          <w:rFonts w:cs="Arial"/>
        </w:rPr>
        <w:t xml:space="preserve"> </w:t>
      </w:r>
    </w:p>
    <w:p w:rsidR="00A128B3" w:rsidRPr="00A128B3" w:rsidRDefault="00A128B3" w:rsidP="00C46C9B">
      <w:pPr>
        <w:pStyle w:val="Heading2"/>
        <w:rPr>
          <w:rFonts w:eastAsiaTheme="majorEastAsia"/>
          <w:lang w:val="en-AU"/>
        </w:rPr>
      </w:pPr>
      <w:bookmarkStart w:id="20" w:name="_Toc401143916"/>
      <w:r>
        <w:rPr>
          <w:rFonts w:eastAsiaTheme="majorEastAsia"/>
          <w:lang w:val="en-AU"/>
        </w:rPr>
        <w:t>2</w:t>
      </w:r>
      <w:r w:rsidRPr="00A128B3">
        <w:rPr>
          <w:rFonts w:eastAsiaTheme="majorEastAsia"/>
          <w:lang w:val="en-AU"/>
        </w:rPr>
        <w:t>.</w:t>
      </w:r>
      <w:r w:rsidR="0090682B">
        <w:rPr>
          <w:rFonts w:eastAsiaTheme="majorEastAsia"/>
          <w:lang w:val="en-AU"/>
        </w:rPr>
        <w:t>2</w:t>
      </w:r>
      <w:r w:rsidRPr="00A128B3">
        <w:rPr>
          <w:rFonts w:eastAsiaTheme="majorEastAsia"/>
          <w:lang w:val="en-AU"/>
        </w:rPr>
        <w:tab/>
      </w:r>
      <w:r w:rsidR="000F2ECE">
        <w:rPr>
          <w:rFonts w:eastAsiaTheme="majorEastAsia"/>
          <w:lang w:val="en-AU"/>
        </w:rPr>
        <w:tab/>
      </w:r>
      <w:r w:rsidR="00307A70">
        <w:rPr>
          <w:rFonts w:eastAsiaTheme="majorEastAsia"/>
          <w:lang w:val="en-AU"/>
        </w:rPr>
        <w:t>Evaluation of d</w:t>
      </w:r>
      <w:r w:rsidR="0090682B">
        <w:rPr>
          <w:rFonts w:eastAsiaTheme="majorEastAsia"/>
          <w:lang w:val="en-AU"/>
        </w:rPr>
        <w:t>ata</w:t>
      </w:r>
      <w:bookmarkEnd w:id="16"/>
      <w:bookmarkEnd w:id="20"/>
    </w:p>
    <w:p w:rsidR="008C22AF" w:rsidRDefault="0052174B" w:rsidP="0052174B">
      <w:pPr>
        <w:widowControl/>
        <w:rPr>
          <w:rFonts w:cs="Arial"/>
          <w:lang w:bidi="ar-SA"/>
        </w:rPr>
      </w:pPr>
      <w:r w:rsidRPr="0052174B">
        <w:rPr>
          <w:rFonts w:cs="Arial"/>
          <w:bCs/>
          <w:lang w:bidi="ar-SA"/>
        </w:rPr>
        <w:t xml:space="preserve">There are limited </w:t>
      </w:r>
      <w:r w:rsidR="004939B8">
        <w:rPr>
          <w:rFonts w:cs="Arial"/>
          <w:bCs/>
          <w:lang w:bidi="ar-SA"/>
        </w:rPr>
        <w:t xml:space="preserve">published </w:t>
      </w:r>
      <w:r w:rsidRPr="0052174B">
        <w:rPr>
          <w:rFonts w:cs="Arial"/>
          <w:bCs/>
          <w:lang w:bidi="ar-SA"/>
        </w:rPr>
        <w:t xml:space="preserve">toxicity data for tutin (reviewed by </w:t>
      </w:r>
      <w:r w:rsidRPr="0052174B">
        <w:rPr>
          <w:rFonts w:cs="Arial"/>
          <w:bCs/>
          <w:iCs/>
          <w:lang w:bidi="ar-SA"/>
        </w:rPr>
        <w:t>McNaughton and Goodwin, 2008</w:t>
      </w:r>
      <w:r w:rsidRPr="0052174B">
        <w:rPr>
          <w:rFonts w:cs="Arial"/>
          <w:bCs/>
          <w:lang w:bidi="ar-SA"/>
        </w:rPr>
        <w:t>).</w:t>
      </w:r>
      <w:r w:rsidR="004939B8">
        <w:rPr>
          <w:rFonts w:cs="Arial"/>
          <w:bCs/>
          <w:lang w:bidi="ar-SA"/>
        </w:rPr>
        <w:t xml:space="preserve"> </w:t>
      </w:r>
      <w:r w:rsidR="00CA73AC">
        <w:rPr>
          <w:rFonts w:cs="Arial"/>
          <w:lang w:bidi="ar-SA"/>
        </w:rPr>
        <w:t>S</w:t>
      </w:r>
      <w:r w:rsidRPr="0052174B">
        <w:rPr>
          <w:rFonts w:cs="Arial"/>
          <w:lang w:bidi="ar-SA"/>
        </w:rPr>
        <w:t xml:space="preserve">everal additional studies </w:t>
      </w:r>
      <w:r w:rsidR="00CA73AC">
        <w:rPr>
          <w:rFonts w:cs="Arial"/>
          <w:lang w:bidi="ar-SA"/>
        </w:rPr>
        <w:t xml:space="preserve">have been conducted </w:t>
      </w:r>
      <w:r w:rsidRPr="0052174B">
        <w:rPr>
          <w:rFonts w:cs="Arial"/>
          <w:lang w:bidi="ar-SA"/>
        </w:rPr>
        <w:t>since the above review was conducted and these studies are evaluated here, along with other relevant published information.</w:t>
      </w:r>
      <w:r w:rsidR="000A6292">
        <w:rPr>
          <w:rFonts w:cs="Arial"/>
          <w:lang w:bidi="ar-SA"/>
        </w:rPr>
        <w:t xml:space="preserve"> </w:t>
      </w:r>
      <w:r w:rsidR="00D87BB3">
        <w:rPr>
          <w:rFonts w:cs="Arial"/>
          <w:lang w:bidi="ar-SA"/>
        </w:rPr>
        <w:t>A</w:t>
      </w:r>
      <w:r w:rsidR="00CA73AC">
        <w:rPr>
          <w:rFonts w:cs="Arial"/>
          <w:lang w:bidi="ar-SA"/>
        </w:rPr>
        <w:t xml:space="preserve"> </w:t>
      </w:r>
      <w:r w:rsidR="000A6292">
        <w:rPr>
          <w:rFonts w:cs="Arial"/>
          <w:lang w:bidi="ar-SA"/>
        </w:rPr>
        <w:t>human pharmacokinetic study</w:t>
      </w:r>
      <w:r w:rsidR="00D87BB3">
        <w:rPr>
          <w:rFonts w:cs="Arial"/>
          <w:lang w:bidi="ar-SA"/>
        </w:rPr>
        <w:t xml:space="preserve"> was</w:t>
      </w:r>
      <w:r w:rsidR="000A6292">
        <w:rPr>
          <w:rFonts w:cs="Arial"/>
          <w:lang w:bidi="ar-SA"/>
        </w:rPr>
        <w:t xml:space="preserve"> </w:t>
      </w:r>
      <w:r w:rsidR="00CA73AC">
        <w:rPr>
          <w:rFonts w:cs="Arial"/>
          <w:lang w:bidi="ar-SA"/>
        </w:rPr>
        <w:t xml:space="preserve">conducted </w:t>
      </w:r>
      <w:r w:rsidR="00474256">
        <w:rPr>
          <w:rFonts w:cs="Arial"/>
          <w:lang w:bidi="ar-SA"/>
        </w:rPr>
        <w:t>in 2012</w:t>
      </w:r>
      <w:r w:rsidR="000A6292">
        <w:rPr>
          <w:rFonts w:cs="Arial"/>
          <w:lang w:bidi="ar-SA"/>
        </w:rPr>
        <w:t xml:space="preserve"> to</w:t>
      </w:r>
      <w:r w:rsidR="00474256">
        <w:rPr>
          <w:rFonts w:cs="Arial"/>
          <w:lang w:bidi="ar-SA"/>
        </w:rPr>
        <w:t xml:space="preserve"> investigate the basis of </w:t>
      </w:r>
      <w:r w:rsidR="00474256" w:rsidRPr="00CE1C03">
        <w:t>the large variability in the onset time of clinical signs and symptoms of toxicity</w:t>
      </w:r>
      <w:r w:rsidR="000A6292">
        <w:t xml:space="preserve"> following honey consumption</w:t>
      </w:r>
      <w:r w:rsidR="00D87BB3">
        <w:t>.</w:t>
      </w:r>
    </w:p>
    <w:p w:rsidR="00A128B3" w:rsidRPr="00A128B3" w:rsidRDefault="00885031" w:rsidP="00BC4D1D">
      <w:pPr>
        <w:pStyle w:val="Heading3"/>
      </w:pPr>
      <w:bookmarkStart w:id="21" w:name="_Toc360028606"/>
      <w:bookmarkStart w:id="22" w:name="_Toc401143917"/>
      <w:r>
        <w:t>2</w:t>
      </w:r>
      <w:r w:rsidR="00954ED4">
        <w:t>.2.1</w:t>
      </w:r>
      <w:r w:rsidR="00CF22AD">
        <w:tab/>
        <w:t>Biochemistry</w:t>
      </w:r>
      <w:r w:rsidR="00A128B3" w:rsidRPr="00A128B3">
        <w:t xml:space="preserve"> </w:t>
      </w:r>
      <w:r w:rsidR="00423984">
        <w:t xml:space="preserve">and </w:t>
      </w:r>
      <w:r w:rsidR="00307A70">
        <w:t>p</w:t>
      </w:r>
      <w:r w:rsidR="00423984">
        <w:t>harmacology</w:t>
      </w:r>
      <w:bookmarkEnd w:id="21"/>
      <w:bookmarkEnd w:id="22"/>
      <w:r w:rsidR="00A128B3" w:rsidRPr="00A128B3">
        <w:t xml:space="preserve"> </w:t>
      </w:r>
    </w:p>
    <w:p w:rsidR="0052174B" w:rsidRPr="0052174B" w:rsidRDefault="0052174B" w:rsidP="00C46C9B">
      <w:pPr>
        <w:rPr>
          <w:rFonts w:cs="Arial"/>
          <w:bCs/>
          <w:lang w:bidi="ar-SA"/>
        </w:rPr>
      </w:pPr>
      <w:r w:rsidRPr="0052174B">
        <w:rPr>
          <w:rFonts w:cs="Arial"/>
          <w:lang w:bidi="ar-SA"/>
        </w:rPr>
        <w:t>Tutin is a non-competitive antagonist of the GABA</w:t>
      </w:r>
      <w:r w:rsidRPr="0052174B">
        <w:rPr>
          <w:rFonts w:cs="Arial"/>
          <w:vertAlign w:val="subscript"/>
          <w:lang w:bidi="ar-SA"/>
        </w:rPr>
        <w:t>A</w:t>
      </w:r>
      <w:r w:rsidRPr="0052174B">
        <w:rPr>
          <w:rFonts w:cs="Arial"/>
          <w:lang w:bidi="ar-SA"/>
        </w:rPr>
        <w:t xml:space="preserve"> receptor (</w:t>
      </w:r>
      <w:r w:rsidR="002F5CD0">
        <w:rPr>
          <w:rFonts w:cs="Arial"/>
          <w:lang w:bidi="ar-SA"/>
        </w:rPr>
        <w:t xml:space="preserve">Curtis et al 1973; </w:t>
      </w:r>
      <w:r w:rsidRPr="0052174B">
        <w:rPr>
          <w:rFonts w:cs="Arial"/>
          <w:lang w:bidi="ar-SA"/>
        </w:rPr>
        <w:t>Hosie et al 1996;</w:t>
      </w:r>
      <w:r w:rsidRPr="0052174B">
        <w:rPr>
          <w:rFonts w:cs="Arial"/>
          <w:bCs/>
          <w:lang w:bidi="ar-SA"/>
        </w:rPr>
        <w:t xml:space="preserve"> Ozoe et al 1998; Olsen 2006</w:t>
      </w:r>
      <w:r w:rsidRPr="0052174B">
        <w:rPr>
          <w:rFonts w:cs="Arial"/>
          <w:lang w:bidi="ar-SA"/>
        </w:rPr>
        <w:t xml:space="preserve">). γ-Aminobutyric acid (GABA) is the main inhibitory neurotransmitter in the mammalian central nervous system (CNS). </w:t>
      </w:r>
      <w:r w:rsidR="000644E4">
        <w:rPr>
          <w:rFonts w:cs="Arial"/>
          <w:lang w:bidi="ar-SA"/>
        </w:rPr>
        <w:t>GABA a</w:t>
      </w:r>
      <w:r w:rsidRPr="0052174B">
        <w:rPr>
          <w:rFonts w:cs="Arial"/>
          <w:lang w:bidi="ar-SA"/>
        </w:rPr>
        <w:t>ctivation of the GABA</w:t>
      </w:r>
      <w:r w:rsidRPr="0052174B">
        <w:rPr>
          <w:rFonts w:cs="Arial"/>
          <w:vertAlign w:val="subscript"/>
          <w:lang w:bidi="ar-SA"/>
        </w:rPr>
        <w:t>A</w:t>
      </w:r>
      <w:r w:rsidRPr="0052174B">
        <w:rPr>
          <w:rFonts w:cs="Arial"/>
          <w:lang w:bidi="ar-SA"/>
        </w:rPr>
        <w:t xml:space="preserve"> receptor, a member of the cysteine-loop ligand-gated ion channels (LGICs), results in inhibitory CNS effects. Inhibition of the GABA</w:t>
      </w:r>
      <w:r w:rsidRPr="0052174B">
        <w:rPr>
          <w:rFonts w:cs="Arial"/>
          <w:vertAlign w:val="subscript"/>
          <w:lang w:bidi="ar-SA"/>
        </w:rPr>
        <w:t>A</w:t>
      </w:r>
      <w:r w:rsidRPr="0052174B">
        <w:rPr>
          <w:rFonts w:cs="Arial"/>
          <w:lang w:bidi="ar-SA"/>
        </w:rPr>
        <w:t xml:space="preserve"> receptor by tutin can result in excessive CNS stimulatory effects sometimes resulting in </w:t>
      </w:r>
      <w:r w:rsidR="00683BB1">
        <w:rPr>
          <w:rFonts w:cs="Arial"/>
          <w:lang w:bidi="ar-SA"/>
        </w:rPr>
        <w:t xml:space="preserve">convulsions </w:t>
      </w:r>
      <w:r w:rsidRPr="0052174B">
        <w:rPr>
          <w:rFonts w:cs="Arial"/>
          <w:lang w:bidi="ar-SA"/>
        </w:rPr>
        <w:t xml:space="preserve">and death. Tutin and related </w:t>
      </w:r>
      <w:r w:rsidRPr="0052174B">
        <w:rPr>
          <w:rFonts w:cs="Arial"/>
          <w:lang w:bidi="ar-SA"/>
        </w:rPr>
        <w:lastRenderedPageBreak/>
        <w:t xml:space="preserve">compounds such as picrotoxin </w:t>
      </w:r>
      <w:r w:rsidR="006F0EFB">
        <w:rPr>
          <w:rFonts w:cs="Arial"/>
          <w:lang w:bidi="ar-SA"/>
        </w:rPr>
        <w:t xml:space="preserve">(Appendix 1) </w:t>
      </w:r>
      <w:r w:rsidRPr="0052174B">
        <w:rPr>
          <w:rFonts w:cs="Arial"/>
          <w:lang w:bidi="ar-SA"/>
        </w:rPr>
        <w:t>do not compete directly with GABA in binding to the GABA</w:t>
      </w:r>
      <w:r w:rsidRPr="0052174B">
        <w:rPr>
          <w:rFonts w:cs="Arial"/>
          <w:vertAlign w:val="subscript"/>
          <w:lang w:bidi="ar-SA"/>
        </w:rPr>
        <w:t>A</w:t>
      </w:r>
      <w:r w:rsidRPr="0052174B">
        <w:rPr>
          <w:rFonts w:cs="Arial"/>
          <w:lang w:bidi="ar-SA"/>
        </w:rPr>
        <w:t xml:space="preserve"> receptor and are therefore termed non-competitive antagonis</w:t>
      </w:r>
      <w:r w:rsidR="003764C4">
        <w:rPr>
          <w:rFonts w:cs="Arial"/>
          <w:lang w:bidi="ar-SA"/>
        </w:rPr>
        <w:t>ts (Chen et al 2006). B</w:t>
      </w:r>
      <w:r w:rsidRPr="0052174B">
        <w:rPr>
          <w:rFonts w:cs="Arial"/>
          <w:lang w:bidi="ar-SA"/>
        </w:rPr>
        <w:t xml:space="preserve">ased on the </w:t>
      </w:r>
      <w:r w:rsidRPr="0052174B">
        <w:rPr>
          <w:rFonts w:cs="Arial"/>
          <w:bCs/>
          <w:lang w:bidi="ar-SA"/>
        </w:rPr>
        <w:t>extensive data on picrotoxin, these molecules probably inhibit LGICs by an allosteric mechanism (Hawthorne and Lynch 2005).</w:t>
      </w:r>
      <w:r w:rsidR="005C1CB0">
        <w:rPr>
          <w:rFonts w:cs="Arial"/>
          <w:bCs/>
          <w:lang w:bidi="ar-SA"/>
        </w:rPr>
        <w:t xml:space="preserve"> </w:t>
      </w:r>
    </w:p>
    <w:p w:rsidR="0052174B" w:rsidRPr="0052174B" w:rsidRDefault="0052174B" w:rsidP="0052174B">
      <w:pPr>
        <w:autoSpaceDE w:val="0"/>
        <w:autoSpaceDN w:val="0"/>
        <w:adjustRightInd w:val="0"/>
        <w:rPr>
          <w:rFonts w:cs="Arial"/>
          <w:lang w:bidi="ar-SA"/>
        </w:rPr>
      </w:pPr>
    </w:p>
    <w:p w:rsidR="0052174B" w:rsidRPr="0052174B" w:rsidRDefault="0052174B" w:rsidP="0052174B">
      <w:pPr>
        <w:widowControl/>
        <w:rPr>
          <w:rFonts w:cs="Arial"/>
          <w:bCs/>
          <w:lang w:bidi="ar-SA"/>
        </w:rPr>
      </w:pPr>
      <w:r w:rsidRPr="0052174B">
        <w:rPr>
          <w:rFonts w:cs="Arial"/>
          <w:lang w:bidi="ar-SA"/>
        </w:rPr>
        <w:t xml:space="preserve">In an unpublished study, </w:t>
      </w:r>
      <w:r w:rsidR="00CE69BA">
        <w:rPr>
          <w:rFonts w:cs="Arial"/>
          <w:bCs/>
          <w:lang w:bidi="ar-SA"/>
        </w:rPr>
        <w:t xml:space="preserve">Lees and Khanh (2009) </w:t>
      </w:r>
      <w:r w:rsidRPr="0052174B">
        <w:rPr>
          <w:rFonts w:cs="Arial"/>
          <w:bCs/>
          <w:lang w:bidi="ar-SA"/>
        </w:rPr>
        <w:t>quantified the activities of tutin, and a mixture of hyenanchin and dihydrohyenanchin, in inhibiting the GABA</w:t>
      </w:r>
      <w:r w:rsidRPr="0052174B">
        <w:rPr>
          <w:rFonts w:cs="Arial"/>
          <w:bCs/>
          <w:vertAlign w:val="subscript"/>
          <w:lang w:bidi="ar-SA"/>
        </w:rPr>
        <w:t>A</w:t>
      </w:r>
      <w:r w:rsidRPr="0052174B">
        <w:rPr>
          <w:rFonts w:cs="Arial"/>
          <w:bCs/>
          <w:lang w:bidi="ar-SA"/>
        </w:rPr>
        <w:t xml:space="preserve"> channel in cultured nerve cells from rat brain. Tutin was the most potent (IC</w:t>
      </w:r>
      <w:r w:rsidRPr="0052174B">
        <w:rPr>
          <w:rFonts w:cs="Arial"/>
          <w:bCs/>
          <w:vertAlign w:val="subscript"/>
          <w:lang w:bidi="ar-SA"/>
        </w:rPr>
        <w:t>50</w:t>
      </w:r>
      <w:r w:rsidRPr="0052174B">
        <w:rPr>
          <w:rFonts w:cs="Arial"/>
          <w:bCs/>
          <w:lang w:bidi="ar-SA"/>
        </w:rPr>
        <w:t xml:space="preserve"> 5.9 μM) followed by hyenanchin</w:t>
      </w:r>
      <w:r w:rsidRPr="0052174B">
        <w:rPr>
          <w:rFonts w:cs="Arial"/>
          <w:bCs/>
          <w:vertAlign w:val="superscript"/>
          <w:lang w:bidi="ar-SA"/>
        </w:rPr>
        <w:footnoteReference w:id="1"/>
      </w:r>
      <w:r w:rsidRPr="0052174B">
        <w:rPr>
          <w:rFonts w:cs="Arial"/>
          <w:bCs/>
          <w:lang w:bidi="ar-SA"/>
        </w:rPr>
        <w:t xml:space="preserve"> (IC</w:t>
      </w:r>
      <w:r w:rsidRPr="0052174B">
        <w:rPr>
          <w:rFonts w:cs="Arial"/>
          <w:bCs/>
          <w:vertAlign w:val="subscript"/>
          <w:lang w:bidi="ar-SA"/>
        </w:rPr>
        <w:t>50 </w:t>
      </w:r>
      <w:r w:rsidRPr="0052174B">
        <w:rPr>
          <w:rFonts w:cs="Arial"/>
          <w:bCs/>
          <w:lang w:bidi="ar-SA"/>
        </w:rPr>
        <w:t>33 μM) and dihydrohyenanchin (IC</w:t>
      </w:r>
      <w:r w:rsidRPr="0052174B">
        <w:rPr>
          <w:rFonts w:cs="Arial"/>
          <w:bCs/>
          <w:vertAlign w:val="subscript"/>
          <w:lang w:bidi="ar-SA"/>
        </w:rPr>
        <w:t>50</w:t>
      </w:r>
      <w:r w:rsidR="00CE69BA">
        <w:rPr>
          <w:rFonts w:cs="Arial"/>
          <w:bCs/>
          <w:lang w:bidi="ar-SA"/>
        </w:rPr>
        <w:t> 41 </w:t>
      </w:r>
      <w:r>
        <w:rPr>
          <w:rFonts w:cs="Arial"/>
          <w:bCs/>
          <w:lang w:bidi="ar-SA"/>
        </w:rPr>
        <w:t>μM). Each substance</w:t>
      </w:r>
      <w:r w:rsidRPr="0052174B">
        <w:rPr>
          <w:rFonts w:cs="Arial"/>
          <w:bCs/>
          <w:lang w:bidi="ar-SA"/>
        </w:rPr>
        <w:t xml:space="preserve"> was able to completely occlude the GABA-ergic currents. The lowest concentration for complete inhibition for tutin was 32 μM, with values for hyenanchin and dihydrohyenanchin of 64 μM and 100 μM, respectively. At these high concentrations all three compounds evoked epileptiform activity in the electrophysiology experiments. An approximate IC</w:t>
      </w:r>
      <w:r w:rsidRPr="0052174B">
        <w:rPr>
          <w:rFonts w:cs="Arial"/>
          <w:bCs/>
          <w:vertAlign w:val="subscript"/>
          <w:lang w:bidi="ar-SA"/>
        </w:rPr>
        <w:t>50</w:t>
      </w:r>
      <w:r w:rsidRPr="0052174B">
        <w:rPr>
          <w:rFonts w:cs="Arial"/>
          <w:bCs/>
          <w:lang w:bidi="ar-SA"/>
        </w:rPr>
        <w:t xml:space="preserve"> for picrotoxin of 3</w:t>
      </w:r>
      <w:r w:rsidR="004B26D8">
        <w:rPr>
          <w:rFonts w:cs="Arial"/>
          <w:bCs/>
          <w:lang w:bidi="ar-SA"/>
        </w:rPr>
        <w:t xml:space="preserve">.4 μM was also determined, </w:t>
      </w:r>
      <w:r w:rsidRPr="0052174B">
        <w:rPr>
          <w:rFonts w:cs="Arial"/>
          <w:bCs/>
          <w:lang w:bidi="ar-SA"/>
        </w:rPr>
        <w:t xml:space="preserve">indicating approximately 2-fold greater potency than tutin </w:t>
      </w:r>
      <w:r w:rsidR="00C31A8A">
        <w:rPr>
          <w:rFonts w:cs="Arial"/>
          <w:bCs/>
          <w:lang w:bidi="ar-SA"/>
        </w:rPr>
        <w:t>under the conditions of</w:t>
      </w:r>
      <w:r w:rsidR="004B26D8">
        <w:rPr>
          <w:rFonts w:cs="Arial"/>
          <w:bCs/>
          <w:lang w:bidi="ar-SA"/>
        </w:rPr>
        <w:t xml:space="preserve"> this experiment</w:t>
      </w:r>
      <w:r w:rsidRPr="0052174B">
        <w:rPr>
          <w:rFonts w:cs="Arial"/>
          <w:bCs/>
          <w:lang w:bidi="ar-SA"/>
        </w:rPr>
        <w:t>.</w:t>
      </w:r>
    </w:p>
    <w:p w:rsidR="0052174B" w:rsidRPr="0052174B" w:rsidRDefault="0052174B" w:rsidP="0052174B">
      <w:pPr>
        <w:autoSpaceDE w:val="0"/>
        <w:autoSpaceDN w:val="0"/>
        <w:adjustRightInd w:val="0"/>
        <w:rPr>
          <w:rFonts w:cs="Arial"/>
          <w:lang w:bidi="ar-SA"/>
        </w:rPr>
      </w:pPr>
    </w:p>
    <w:p w:rsidR="008C22AF" w:rsidRPr="00E63684" w:rsidRDefault="0052174B" w:rsidP="00E63684">
      <w:pPr>
        <w:rPr>
          <w:rFonts w:cs="Arial"/>
          <w:bCs/>
          <w:lang w:bidi="ar-SA"/>
        </w:rPr>
      </w:pPr>
      <w:r w:rsidRPr="0052174B">
        <w:rPr>
          <w:rFonts w:cs="Arial"/>
          <w:lang w:bidi="ar-SA"/>
        </w:rPr>
        <w:t xml:space="preserve">Tutin has also been shown to inhibit glycine receptors in spinal neurons </w:t>
      </w:r>
      <w:r w:rsidRPr="0052174B">
        <w:rPr>
          <w:rFonts w:cs="Arial"/>
          <w:i/>
          <w:lang w:bidi="ar-SA"/>
        </w:rPr>
        <w:t>in vitro</w:t>
      </w:r>
      <w:r w:rsidRPr="0052174B">
        <w:rPr>
          <w:rFonts w:cs="Arial"/>
          <w:lang w:bidi="ar-SA"/>
        </w:rPr>
        <w:t xml:space="preserve"> (Fuent</w:t>
      </w:r>
      <w:r w:rsidR="00AD515B">
        <w:rPr>
          <w:rFonts w:cs="Arial"/>
          <w:lang w:bidi="ar-SA"/>
        </w:rPr>
        <w:t>e</w:t>
      </w:r>
      <w:r w:rsidRPr="0052174B">
        <w:rPr>
          <w:rFonts w:cs="Arial"/>
          <w:lang w:bidi="ar-SA"/>
        </w:rPr>
        <w:t>alba et al 2007</w:t>
      </w:r>
      <w:r w:rsidR="00784710">
        <w:rPr>
          <w:rFonts w:cs="Arial"/>
          <w:lang w:bidi="ar-SA"/>
        </w:rPr>
        <w:t xml:space="preserve"> and 2011</w:t>
      </w:r>
      <w:r w:rsidRPr="0052174B">
        <w:rPr>
          <w:rFonts w:cs="Arial"/>
          <w:lang w:bidi="ar-SA"/>
        </w:rPr>
        <w:t>). This is not surprising considering that glycine receptors, the main inhibitory receptors in the spinal cord and the brain stem, are closely related to the GABA</w:t>
      </w:r>
      <w:r w:rsidRPr="0052174B">
        <w:rPr>
          <w:rFonts w:cs="Arial"/>
          <w:vertAlign w:val="subscript"/>
          <w:lang w:bidi="ar-SA"/>
        </w:rPr>
        <w:t>A</w:t>
      </w:r>
      <w:r w:rsidRPr="0052174B">
        <w:rPr>
          <w:rFonts w:cs="Arial"/>
          <w:lang w:bidi="ar-SA"/>
        </w:rPr>
        <w:t xml:space="preserve"> receptor. Moreover, picrotoxin has been shown to inhibit several members of the cys-loop LGIC superfamily </w:t>
      </w:r>
      <w:r w:rsidR="00CE69BA">
        <w:rPr>
          <w:rFonts w:cs="Arial"/>
          <w:lang w:bidi="ar-SA"/>
        </w:rPr>
        <w:t xml:space="preserve">of receptors </w:t>
      </w:r>
      <w:r w:rsidRPr="0052174B">
        <w:rPr>
          <w:rFonts w:cs="Arial"/>
          <w:lang w:bidi="ar-SA"/>
        </w:rPr>
        <w:t>including GABA, glycine, serotonin type 3 and the nicotin</w:t>
      </w:r>
      <w:r w:rsidR="00E95EA0">
        <w:rPr>
          <w:rFonts w:cs="Arial"/>
          <w:lang w:bidi="ar-SA"/>
        </w:rPr>
        <w:t>ic acetylcholine receptor</w:t>
      </w:r>
      <w:r w:rsidRPr="0052174B">
        <w:rPr>
          <w:rFonts w:cs="Arial"/>
          <w:lang w:bidi="ar-SA"/>
        </w:rPr>
        <w:t xml:space="preserve"> (Erkkila et al 2008). </w:t>
      </w:r>
      <w:r w:rsidR="00CB2985">
        <w:rPr>
          <w:rFonts w:cs="Arial"/>
          <w:lang w:bidi="ar-SA"/>
        </w:rPr>
        <w:t>S</w:t>
      </w:r>
      <w:r w:rsidR="00CB2985" w:rsidRPr="00CB2985">
        <w:rPr>
          <w:rFonts w:cs="Arial"/>
          <w:lang w:bidi="ar-SA"/>
        </w:rPr>
        <w:t>tructural characterisation of the binding of picrotoxin to a glutamate-gated chloride channel revealed in detail how picrotoxin functions as a channel blocker (Hibbs &amp; Gouaux 2011).</w:t>
      </w:r>
      <w:r w:rsidR="00CB2985">
        <w:rPr>
          <w:rFonts w:cs="Arial"/>
          <w:bCs/>
          <w:lang w:bidi="ar-SA"/>
        </w:rPr>
        <w:t xml:space="preserve"> </w:t>
      </w:r>
      <w:r w:rsidRPr="0052174B">
        <w:rPr>
          <w:rFonts w:cs="Arial"/>
          <w:lang w:bidi="ar-SA"/>
        </w:rPr>
        <w:t>It is possible that tutin possesses antagonist activity at</w:t>
      </w:r>
      <w:r w:rsidR="00E95EA0">
        <w:rPr>
          <w:rFonts w:cs="Arial"/>
          <w:lang w:bidi="ar-SA"/>
        </w:rPr>
        <w:t xml:space="preserve"> other LGICs</w:t>
      </w:r>
      <w:r w:rsidRPr="0052174B">
        <w:rPr>
          <w:rFonts w:cs="Arial"/>
          <w:lang w:bidi="ar-SA"/>
        </w:rPr>
        <w:t xml:space="preserve"> in addition to the GABA</w:t>
      </w:r>
      <w:r w:rsidRPr="0052174B">
        <w:rPr>
          <w:rFonts w:cs="Arial"/>
          <w:vertAlign w:val="subscript"/>
          <w:lang w:bidi="ar-SA"/>
        </w:rPr>
        <w:t>A</w:t>
      </w:r>
      <w:r w:rsidRPr="0052174B">
        <w:rPr>
          <w:rFonts w:cs="Arial"/>
          <w:lang w:bidi="ar-SA"/>
        </w:rPr>
        <w:t xml:space="preserve"> receptor and glycine receptors.</w:t>
      </w:r>
    </w:p>
    <w:p w:rsidR="00A128B3" w:rsidRPr="00A128B3" w:rsidRDefault="00885031" w:rsidP="00BC4D1D">
      <w:pPr>
        <w:pStyle w:val="Heading3"/>
        <w:rPr>
          <w:i/>
        </w:rPr>
      </w:pPr>
      <w:bookmarkStart w:id="23" w:name="_Toc360028607"/>
      <w:bookmarkStart w:id="24" w:name="_Toc401143918"/>
      <w:r>
        <w:t>2</w:t>
      </w:r>
      <w:r w:rsidR="00954ED4">
        <w:t>.2.</w:t>
      </w:r>
      <w:r w:rsidR="001E2B1A">
        <w:t>2</w:t>
      </w:r>
      <w:r w:rsidR="00A128B3" w:rsidRPr="00A128B3">
        <w:tab/>
        <w:t xml:space="preserve">Absorption, </w:t>
      </w:r>
      <w:r w:rsidR="00307A70">
        <w:t>d</w:t>
      </w:r>
      <w:r w:rsidR="00A128B3" w:rsidRPr="00A128B3">
        <w:t xml:space="preserve">istribution, </w:t>
      </w:r>
      <w:r w:rsidR="00307A70">
        <w:t>m</w:t>
      </w:r>
      <w:r w:rsidR="00A128B3" w:rsidRPr="00A128B3">
        <w:t xml:space="preserve">etabolism and </w:t>
      </w:r>
      <w:r w:rsidR="00307A70">
        <w:t>e</w:t>
      </w:r>
      <w:r w:rsidR="00A128B3" w:rsidRPr="00A128B3">
        <w:t>xcretion</w:t>
      </w:r>
      <w:bookmarkEnd w:id="23"/>
      <w:bookmarkEnd w:id="24"/>
      <w:r w:rsidR="00A128B3" w:rsidRPr="00A128B3">
        <w:t xml:space="preserve"> </w:t>
      </w:r>
    </w:p>
    <w:p w:rsidR="002B5534" w:rsidRDefault="00ED5B82" w:rsidP="00ED5B82">
      <w:pPr>
        <w:widowControl/>
        <w:rPr>
          <w:rFonts w:cs="Arial"/>
        </w:rPr>
      </w:pPr>
      <w:r w:rsidRPr="00ED5B82">
        <w:rPr>
          <w:rFonts w:cs="Arial"/>
        </w:rPr>
        <w:t xml:space="preserve">No </w:t>
      </w:r>
      <w:r w:rsidR="009718CB">
        <w:rPr>
          <w:rFonts w:cs="Arial"/>
        </w:rPr>
        <w:t xml:space="preserve">laboratory </w:t>
      </w:r>
      <w:r w:rsidR="00FD0538">
        <w:rPr>
          <w:rFonts w:cs="Arial"/>
        </w:rPr>
        <w:t xml:space="preserve">animal </w:t>
      </w:r>
      <w:r w:rsidRPr="00ED5B82">
        <w:rPr>
          <w:rFonts w:cs="Arial"/>
        </w:rPr>
        <w:t xml:space="preserve">studies are available on the absorption, distribution, metabolism and excretion of tutin. However, based on the time of onset of clinical signs consistent with </w:t>
      </w:r>
      <w:r w:rsidR="00784710">
        <w:rPr>
          <w:rFonts w:cs="Arial"/>
        </w:rPr>
        <w:t>n</w:t>
      </w:r>
      <w:r w:rsidRPr="00ED5B82">
        <w:rPr>
          <w:rFonts w:cs="Arial"/>
        </w:rPr>
        <w:t xml:space="preserve">eurotoxicity (e.g. &lt;15 min in mice, ~1 h in dogs), systemic absorption after oral ingestion </w:t>
      </w:r>
      <w:r w:rsidR="002B5534">
        <w:rPr>
          <w:rFonts w:cs="Arial"/>
        </w:rPr>
        <w:t xml:space="preserve">of </w:t>
      </w:r>
      <w:r w:rsidR="008225D6">
        <w:rPr>
          <w:rFonts w:cs="Arial"/>
        </w:rPr>
        <w:t xml:space="preserve">purified </w:t>
      </w:r>
      <w:r w:rsidR="002B5534">
        <w:rPr>
          <w:rFonts w:cs="Arial"/>
        </w:rPr>
        <w:t xml:space="preserve">tutin </w:t>
      </w:r>
      <w:r w:rsidRPr="00ED5B82">
        <w:rPr>
          <w:rFonts w:cs="Arial"/>
        </w:rPr>
        <w:t xml:space="preserve">appears to be rapid in animals (Fitchett and Malcolm 1909; </w:t>
      </w:r>
      <w:r w:rsidRPr="00ED5B82">
        <w:rPr>
          <w:rFonts w:cs="Arial"/>
          <w:bCs/>
          <w:iCs/>
        </w:rPr>
        <w:t>McNaughton and Goodwin 2008</w:t>
      </w:r>
      <w:r w:rsidR="00FD0538">
        <w:rPr>
          <w:rFonts w:cs="Arial"/>
          <w:bCs/>
          <w:iCs/>
        </w:rPr>
        <w:t>)</w:t>
      </w:r>
      <w:r w:rsidRPr="00ED5B82">
        <w:rPr>
          <w:rFonts w:cs="Arial"/>
        </w:rPr>
        <w:t>. Also, animals recover rapidly from non-lethal doses of tutin suggesting rapid elimination (</w:t>
      </w:r>
      <w:r w:rsidRPr="00ED5B82">
        <w:rPr>
          <w:rFonts w:cs="Arial"/>
          <w:bCs/>
          <w:iCs/>
        </w:rPr>
        <w:t>McNaughton and Goodwin 2008)</w:t>
      </w:r>
      <w:r w:rsidRPr="00ED5B82">
        <w:rPr>
          <w:rFonts w:cs="Arial"/>
        </w:rPr>
        <w:t xml:space="preserve">. </w:t>
      </w:r>
    </w:p>
    <w:p w:rsidR="002B5534" w:rsidRDefault="002B5534" w:rsidP="00ED5B82">
      <w:pPr>
        <w:widowControl/>
        <w:rPr>
          <w:rFonts w:cs="Arial"/>
        </w:rPr>
      </w:pPr>
    </w:p>
    <w:p w:rsidR="00C44F7A" w:rsidRDefault="003764C4" w:rsidP="00A128B3">
      <w:pPr>
        <w:widowControl/>
        <w:rPr>
          <w:rFonts w:cs="Arial"/>
        </w:rPr>
      </w:pPr>
      <w:r>
        <w:rPr>
          <w:rFonts w:cs="Arial"/>
        </w:rPr>
        <w:t>In contrast</w:t>
      </w:r>
      <w:r w:rsidR="008225D6">
        <w:rPr>
          <w:rFonts w:cs="Arial"/>
        </w:rPr>
        <w:t xml:space="preserve"> to the apparent rapid absorption observed following oral administration of purified tutin</w:t>
      </w:r>
      <w:r w:rsidR="00501AE2">
        <w:rPr>
          <w:rFonts w:cs="Arial"/>
        </w:rPr>
        <w:t xml:space="preserve">, the onset time of toxicity following </w:t>
      </w:r>
      <w:r w:rsidR="00805BBA">
        <w:rPr>
          <w:rFonts w:cs="Arial"/>
        </w:rPr>
        <w:t xml:space="preserve">consumption of </w:t>
      </w:r>
      <w:r w:rsidR="00501AE2">
        <w:rPr>
          <w:rFonts w:cs="Arial"/>
        </w:rPr>
        <w:t xml:space="preserve">honey </w:t>
      </w:r>
      <w:r w:rsidR="00805BBA">
        <w:rPr>
          <w:rFonts w:cs="Arial"/>
        </w:rPr>
        <w:t xml:space="preserve">containing tutin </w:t>
      </w:r>
      <w:r w:rsidR="009718CB">
        <w:rPr>
          <w:rFonts w:cs="Arial"/>
        </w:rPr>
        <w:t xml:space="preserve">as a natural toxicant </w:t>
      </w:r>
      <w:r w:rsidR="00501AE2">
        <w:rPr>
          <w:rFonts w:cs="Arial"/>
        </w:rPr>
        <w:t>is highly variable.</w:t>
      </w:r>
      <w:r>
        <w:rPr>
          <w:rFonts w:cs="Arial"/>
        </w:rPr>
        <w:t xml:space="preserve"> For example, i</w:t>
      </w:r>
      <w:r w:rsidR="002B5534">
        <w:rPr>
          <w:rFonts w:cs="Arial"/>
        </w:rPr>
        <w:t xml:space="preserve">n guinea pigs fed honey </w:t>
      </w:r>
      <w:r w:rsidR="002B5534" w:rsidRPr="00923403">
        <w:rPr>
          <w:rFonts w:cs="Arial"/>
        </w:rPr>
        <w:t xml:space="preserve">containing tutin, </w:t>
      </w:r>
      <w:r w:rsidR="002B5534" w:rsidRPr="00C46C9B">
        <w:rPr>
          <w:rFonts w:cs="Arial"/>
        </w:rPr>
        <w:t>the ons</w:t>
      </w:r>
      <w:r w:rsidR="002B5534" w:rsidRPr="00923403">
        <w:rPr>
          <w:rFonts w:cs="Arial"/>
        </w:rPr>
        <w:t xml:space="preserve">et of </w:t>
      </w:r>
      <w:r w:rsidR="002B5534">
        <w:rPr>
          <w:rFonts w:cs="Arial"/>
        </w:rPr>
        <w:t>signs of toxicity</w:t>
      </w:r>
      <w:r w:rsidR="002B5534" w:rsidRPr="00C46C9B">
        <w:rPr>
          <w:rFonts w:cs="Arial"/>
        </w:rPr>
        <w:t xml:space="preserve"> </w:t>
      </w:r>
      <w:r w:rsidR="002B5534">
        <w:rPr>
          <w:rFonts w:cs="Arial"/>
        </w:rPr>
        <w:t xml:space="preserve">was </w:t>
      </w:r>
      <w:r w:rsidR="002B5534" w:rsidRPr="00C46C9B">
        <w:rPr>
          <w:rFonts w:cs="Arial"/>
        </w:rPr>
        <w:t>between one and seven hours after</w:t>
      </w:r>
      <w:r w:rsidR="002B5534">
        <w:rPr>
          <w:rFonts w:cs="Arial"/>
        </w:rPr>
        <w:t xml:space="preserve"> ingestion (</w:t>
      </w:r>
      <w:r w:rsidR="002B5534" w:rsidRPr="00C46C9B">
        <w:rPr>
          <w:rFonts w:cs="Arial"/>
        </w:rPr>
        <w:t>Palmer-Jones 1947a</w:t>
      </w:r>
      <w:r>
        <w:rPr>
          <w:rFonts w:cs="Arial"/>
        </w:rPr>
        <w:t>)</w:t>
      </w:r>
      <w:r w:rsidR="00D87BB3">
        <w:rPr>
          <w:rFonts w:cs="Arial"/>
        </w:rPr>
        <w:t>. In humans,</w:t>
      </w:r>
      <w:r>
        <w:rPr>
          <w:rFonts w:cs="Arial"/>
        </w:rPr>
        <w:t xml:space="preserve"> </w:t>
      </w:r>
      <w:r w:rsidR="00CC2ED9">
        <w:rPr>
          <w:rFonts w:cs="Arial"/>
        </w:rPr>
        <w:t>a</w:t>
      </w:r>
      <w:r w:rsidR="00CC2ED9" w:rsidRPr="00CC2ED9">
        <w:rPr>
          <w:rFonts w:cs="Arial"/>
        </w:rPr>
        <w:t xml:space="preserve"> noteworthy feature of </w:t>
      </w:r>
      <w:r w:rsidR="00CC2ED9">
        <w:rPr>
          <w:rFonts w:cs="Arial"/>
        </w:rPr>
        <w:t xml:space="preserve">honey poisoning cases </w:t>
      </w:r>
      <w:r w:rsidR="004B26D8">
        <w:rPr>
          <w:rFonts w:cs="Arial"/>
        </w:rPr>
        <w:t xml:space="preserve">is the large variability in the </w:t>
      </w:r>
      <w:r w:rsidR="004B26D8" w:rsidRPr="004B26D8">
        <w:rPr>
          <w:rFonts w:cs="Arial"/>
        </w:rPr>
        <w:t xml:space="preserve">onset time of </w:t>
      </w:r>
      <w:r w:rsidR="00FE60EC">
        <w:rPr>
          <w:rFonts w:cs="Arial"/>
        </w:rPr>
        <w:t>the first clinical sign or symptom</w:t>
      </w:r>
      <w:r w:rsidR="004B26D8" w:rsidRPr="004B26D8">
        <w:rPr>
          <w:rFonts w:cs="Arial"/>
        </w:rPr>
        <w:t xml:space="preserve"> of toxicity</w:t>
      </w:r>
      <w:r w:rsidR="004B26D8">
        <w:rPr>
          <w:rFonts w:cs="Arial"/>
        </w:rPr>
        <w:t>.</w:t>
      </w:r>
      <w:r w:rsidR="004B26D8" w:rsidRPr="004B26D8">
        <w:rPr>
          <w:rFonts w:cs="Arial"/>
        </w:rPr>
        <w:t xml:space="preserve"> </w:t>
      </w:r>
      <w:r w:rsidR="004B26D8">
        <w:rPr>
          <w:rFonts w:cs="Arial"/>
        </w:rPr>
        <w:t xml:space="preserve">For the 11 confirmed cases in 2008, this onset time ranged </w:t>
      </w:r>
      <w:r w:rsidR="00CC2ED9">
        <w:rPr>
          <w:rFonts w:cs="Arial"/>
        </w:rPr>
        <w:t xml:space="preserve">from </w:t>
      </w:r>
      <w:r w:rsidR="00CC2ED9" w:rsidRPr="00CC2ED9">
        <w:rPr>
          <w:rFonts w:cs="Arial"/>
        </w:rPr>
        <w:t xml:space="preserve">0.5 </w:t>
      </w:r>
      <w:r w:rsidR="00971866">
        <w:rPr>
          <w:rFonts w:cs="Arial"/>
        </w:rPr>
        <w:t xml:space="preserve">h </w:t>
      </w:r>
      <w:r w:rsidR="00CC2ED9" w:rsidRPr="00CC2ED9">
        <w:rPr>
          <w:rFonts w:cs="Arial"/>
        </w:rPr>
        <w:t>to 17 h</w:t>
      </w:r>
      <w:r w:rsidR="00805BBA">
        <w:rPr>
          <w:rFonts w:cs="Arial"/>
        </w:rPr>
        <w:t xml:space="preserve"> post-ingestion</w:t>
      </w:r>
      <w:r w:rsidR="004B26D8">
        <w:rPr>
          <w:rFonts w:cs="Arial"/>
        </w:rPr>
        <w:t xml:space="preserve">, with a </w:t>
      </w:r>
      <w:r w:rsidR="00CC2ED9" w:rsidRPr="00CC2ED9">
        <w:rPr>
          <w:rFonts w:cs="Arial"/>
        </w:rPr>
        <w:t>medi</w:t>
      </w:r>
      <w:r w:rsidR="00971866">
        <w:rPr>
          <w:rFonts w:cs="Arial"/>
        </w:rPr>
        <w:t>an</w:t>
      </w:r>
      <w:r w:rsidR="00CC2ED9" w:rsidRPr="00CC2ED9">
        <w:rPr>
          <w:rFonts w:cs="Arial"/>
        </w:rPr>
        <w:t xml:space="preserve"> </w:t>
      </w:r>
      <w:r w:rsidR="004B26D8">
        <w:rPr>
          <w:rFonts w:cs="Arial"/>
        </w:rPr>
        <w:t>of 7.5 h</w:t>
      </w:r>
      <w:r w:rsidR="00CC2ED9">
        <w:rPr>
          <w:rFonts w:cs="Arial"/>
        </w:rPr>
        <w:t xml:space="preserve"> (NZFSA</w:t>
      </w:r>
      <w:r w:rsidR="00594901">
        <w:rPr>
          <w:rFonts w:cs="Arial"/>
        </w:rPr>
        <w:t>,</w:t>
      </w:r>
      <w:r w:rsidR="00CC2ED9">
        <w:rPr>
          <w:rFonts w:cs="Arial"/>
        </w:rPr>
        <w:t xml:space="preserve"> unpublished data)</w:t>
      </w:r>
      <w:r w:rsidR="00CC2ED9" w:rsidRPr="00CC2ED9">
        <w:rPr>
          <w:rFonts w:cs="Arial"/>
        </w:rPr>
        <w:t>.</w:t>
      </w:r>
    </w:p>
    <w:p w:rsidR="006A3FAA" w:rsidRDefault="006A3FAA" w:rsidP="00ED5B82">
      <w:pPr>
        <w:widowControl/>
        <w:rPr>
          <w:rFonts w:cs="Arial"/>
        </w:rPr>
      </w:pPr>
    </w:p>
    <w:p w:rsidR="004B6553" w:rsidRDefault="004B6553">
      <w:pPr>
        <w:widowControl/>
        <w:rPr>
          <w:rFonts w:cs="Arial"/>
          <w:i/>
        </w:rPr>
      </w:pPr>
      <w:r>
        <w:rPr>
          <w:rFonts w:cs="Arial"/>
          <w:i/>
        </w:rPr>
        <w:br w:type="page"/>
      </w:r>
    </w:p>
    <w:p w:rsidR="00E95EA0" w:rsidRPr="00C46C9B" w:rsidRDefault="00E95EA0" w:rsidP="00BD21BD">
      <w:pPr>
        <w:pStyle w:val="Heading4"/>
      </w:pPr>
      <w:r w:rsidRPr="00C46C9B">
        <w:lastRenderedPageBreak/>
        <w:t xml:space="preserve">Human </w:t>
      </w:r>
      <w:r>
        <w:t xml:space="preserve">pharmacokinetic </w:t>
      </w:r>
      <w:r w:rsidRPr="00C46C9B">
        <w:t>study</w:t>
      </w:r>
    </w:p>
    <w:p w:rsidR="0021070C" w:rsidRPr="00374AB5" w:rsidRDefault="0076178E" w:rsidP="0021070C">
      <w:pPr>
        <w:widowControl/>
        <w:rPr>
          <w:rFonts w:cs="Arial"/>
          <w:color w:val="000000" w:themeColor="text1"/>
        </w:rPr>
      </w:pPr>
      <w:r>
        <w:rPr>
          <w:rFonts w:cs="Arial"/>
        </w:rPr>
        <w:t xml:space="preserve">In </w:t>
      </w:r>
      <w:r w:rsidR="00744165">
        <w:rPr>
          <w:rFonts w:cs="Arial"/>
        </w:rPr>
        <w:t xml:space="preserve">order </w:t>
      </w:r>
      <w:r w:rsidR="00F27AFC">
        <w:rPr>
          <w:rFonts w:cs="Arial"/>
        </w:rPr>
        <w:t xml:space="preserve">to </w:t>
      </w:r>
      <w:r w:rsidR="00183DF8">
        <w:rPr>
          <w:rFonts w:cs="Arial"/>
        </w:rPr>
        <w:t>investigate</w:t>
      </w:r>
      <w:r w:rsidR="00744165">
        <w:rPr>
          <w:rFonts w:cs="Arial"/>
        </w:rPr>
        <w:t xml:space="preserve"> the </w:t>
      </w:r>
      <w:r w:rsidR="00F27AFC">
        <w:rPr>
          <w:rFonts w:cs="Arial"/>
        </w:rPr>
        <w:t xml:space="preserve">basis of the </w:t>
      </w:r>
      <w:r w:rsidR="00744165">
        <w:rPr>
          <w:rFonts w:cs="Arial"/>
        </w:rPr>
        <w:t xml:space="preserve">variability </w:t>
      </w:r>
      <w:r w:rsidR="00F27AFC">
        <w:rPr>
          <w:rFonts w:cs="Arial"/>
        </w:rPr>
        <w:t>in</w:t>
      </w:r>
      <w:r>
        <w:rPr>
          <w:rFonts w:cs="Arial"/>
        </w:rPr>
        <w:t xml:space="preserve"> the </w:t>
      </w:r>
      <w:r w:rsidR="00CC2ED9">
        <w:rPr>
          <w:rFonts w:cs="Arial"/>
        </w:rPr>
        <w:t>onset</w:t>
      </w:r>
      <w:r>
        <w:rPr>
          <w:rFonts w:cs="Arial"/>
        </w:rPr>
        <w:t xml:space="preserve"> </w:t>
      </w:r>
      <w:r w:rsidR="006529F5">
        <w:rPr>
          <w:rFonts w:cs="Arial"/>
        </w:rPr>
        <w:t xml:space="preserve">time </w:t>
      </w:r>
      <w:r>
        <w:rPr>
          <w:rFonts w:cs="Arial"/>
        </w:rPr>
        <w:t xml:space="preserve">of </w:t>
      </w:r>
      <w:r w:rsidR="003B4291">
        <w:rPr>
          <w:rFonts w:cs="Arial"/>
        </w:rPr>
        <w:t>adverse effects</w:t>
      </w:r>
      <w:r>
        <w:rPr>
          <w:rFonts w:cs="Arial"/>
        </w:rPr>
        <w:t xml:space="preserve"> following honey consumption</w:t>
      </w:r>
      <w:r w:rsidR="00C44F7A">
        <w:rPr>
          <w:rFonts w:cs="Arial"/>
        </w:rPr>
        <w:t xml:space="preserve">, a </w:t>
      </w:r>
      <w:r w:rsidR="00822B71">
        <w:rPr>
          <w:rFonts w:cs="Arial"/>
        </w:rPr>
        <w:t xml:space="preserve">pharmacokinetic study </w:t>
      </w:r>
      <w:r w:rsidR="00C44F7A">
        <w:rPr>
          <w:rFonts w:cs="Arial"/>
        </w:rPr>
        <w:t xml:space="preserve">was conducted in which </w:t>
      </w:r>
      <w:r w:rsidR="00A737F8" w:rsidRPr="00A737F8">
        <w:rPr>
          <w:rFonts w:cs="Arial"/>
        </w:rPr>
        <w:t xml:space="preserve">6 healthy adult males </w:t>
      </w:r>
      <w:r w:rsidR="00C44F7A">
        <w:rPr>
          <w:rFonts w:cs="Arial"/>
        </w:rPr>
        <w:t xml:space="preserve">were </w:t>
      </w:r>
      <w:r w:rsidR="00822B71">
        <w:rPr>
          <w:rFonts w:cs="Arial"/>
        </w:rPr>
        <w:t>administered honey containing tutin</w:t>
      </w:r>
      <w:r w:rsidR="00784710">
        <w:rPr>
          <w:rFonts w:cs="Arial"/>
        </w:rPr>
        <w:t xml:space="preserve"> </w:t>
      </w:r>
      <w:r w:rsidR="00324494">
        <w:rPr>
          <w:rFonts w:cs="Arial"/>
        </w:rPr>
        <w:t>as a natural toxicant</w:t>
      </w:r>
      <w:r w:rsidR="00A737F8">
        <w:rPr>
          <w:rFonts w:cs="Arial"/>
        </w:rPr>
        <w:t xml:space="preserve">, and </w:t>
      </w:r>
      <w:r w:rsidR="00D04394">
        <w:rPr>
          <w:rFonts w:cs="Arial"/>
        </w:rPr>
        <w:t xml:space="preserve">the tutin concentration in serum was measured at </w:t>
      </w:r>
      <w:r w:rsidR="00B6536D">
        <w:rPr>
          <w:rFonts w:cs="Arial"/>
        </w:rPr>
        <w:t>multiple</w:t>
      </w:r>
      <w:r w:rsidR="00D04394">
        <w:rPr>
          <w:rFonts w:cs="Arial"/>
        </w:rPr>
        <w:t xml:space="preserve"> time points post-dose</w:t>
      </w:r>
      <w:r w:rsidR="00654F7E" w:rsidRPr="00374AB5">
        <w:rPr>
          <w:rFonts w:cs="Arial"/>
          <w:color w:val="000000" w:themeColor="text1"/>
        </w:rPr>
        <w:t>. The study was conducted in accordance with</w:t>
      </w:r>
      <w:r w:rsidR="00B33F3A" w:rsidRPr="00374AB5">
        <w:rPr>
          <w:rFonts w:cs="Arial"/>
          <w:color w:val="000000" w:themeColor="text1"/>
        </w:rPr>
        <w:t xml:space="preserve"> Good Clinical Practice and the protocol was </w:t>
      </w:r>
      <w:r w:rsidR="00654F7E" w:rsidRPr="00374AB5">
        <w:rPr>
          <w:rFonts w:cs="Arial"/>
          <w:color w:val="000000" w:themeColor="text1"/>
        </w:rPr>
        <w:t xml:space="preserve">reviewed and approved by </w:t>
      </w:r>
      <w:r w:rsidR="00B33F3A" w:rsidRPr="00374AB5">
        <w:rPr>
          <w:rFonts w:cs="Arial"/>
          <w:color w:val="000000" w:themeColor="text1"/>
        </w:rPr>
        <w:t>the Lower South Regional Ethics Committee, Dunedin, New Zealand.</w:t>
      </w:r>
      <w:r w:rsidR="00654F7E" w:rsidRPr="00374AB5">
        <w:rPr>
          <w:rFonts w:cs="Arial"/>
          <w:color w:val="000000" w:themeColor="text1"/>
        </w:rPr>
        <w:t xml:space="preserve"> The study has been recently published in a peer-reviewed scientific journal </w:t>
      </w:r>
      <w:r w:rsidR="006B614D" w:rsidRPr="00374AB5">
        <w:rPr>
          <w:rFonts w:cs="Arial"/>
          <w:color w:val="000000" w:themeColor="text1"/>
        </w:rPr>
        <w:t>(</w:t>
      </w:r>
      <w:r w:rsidR="00F92101" w:rsidRPr="00374AB5">
        <w:rPr>
          <w:rFonts w:cs="Arial"/>
          <w:color w:val="000000" w:themeColor="text1"/>
        </w:rPr>
        <w:t>Fields et al</w:t>
      </w:r>
      <w:r w:rsidR="0015192F" w:rsidRPr="00374AB5">
        <w:rPr>
          <w:rFonts w:cs="Arial"/>
          <w:color w:val="000000" w:themeColor="text1"/>
        </w:rPr>
        <w:t xml:space="preserve"> 2014)</w:t>
      </w:r>
      <w:r w:rsidR="00D04394" w:rsidRPr="00374AB5">
        <w:rPr>
          <w:rFonts w:cs="Arial"/>
          <w:color w:val="000000" w:themeColor="text1"/>
        </w:rPr>
        <w:t>.</w:t>
      </w:r>
      <w:r w:rsidR="0021070C" w:rsidRPr="00374AB5">
        <w:rPr>
          <w:rFonts w:cs="Arial"/>
          <w:color w:val="000000" w:themeColor="text1"/>
        </w:rPr>
        <w:t xml:space="preserve"> </w:t>
      </w:r>
    </w:p>
    <w:p w:rsidR="00934E05" w:rsidRDefault="00934E05">
      <w:pPr>
        <w:widowControl/>
        <w:rPr>
          <w:rFonts w:cs="Arial"/>
        </w:rPr>
      </w:pPr>
    </w:p>
    <w:p w:rsidR="00F56E9A" w:rsidRDefault="00F56E9A">
      <w:pPr>
        <w:widowControl/>
        <w:rPr>
          <w:rFonts w:cs="Arial"/>
        </w:rPr>
      </w:pPr>
      <w:r w:rsidRPr="005E1670">
        <w:rPr>
          <w:rFonts w:cs="Arial"/>
        </w:rPr>
        <w:t>The test ma</w:t>
      </w:r>
      <w:r>
        <w:rPr>
          <w:rFonts w:cs="Arial"/>
        </w:rPr>
        <w:t xml:space="preserve">terial was homogenised honey </w:t>
      </w:r>
      <w:r w:rsidRPr="005E1670">
        <w:rPr>
          <w:rFonts w:cs="Arial"/>
        </w:rPr>
        <w:t>contain</w:t>
      </w:r>
      <w:r>
        <w:rPr>
          <w:rFonts w:cs="Arial"/>
        </w:rPr>
        <w:t>ing</w:t>
      </w:r>
      <w:r w:rsidRPr="005E1670">
        <w:rPr>
          <w:rFonts w:cs="Arial"/>
        </w:rPr>
        <w:t xml:space="preserve"> tutin and hyenanchin at concentrations of 5.1 and 23 mg per kg, respectively, as determined using a validated liquid chromatography-tandem mass spectrometry (LC-MS/MS) method by a laboratory accredited for the </w:t>
      </w:r>
      <w:r w:rsidR="005616C5">
        <w:rPr>
          <w:rFonts w:cs="Arial"/>
        </w:rPr>
        <w:t xml:space="preserve">regulatory </w:t>
      </w:r>
      <w:r w:rsidRPr="005E1670">
        <w:rPr>
          <w:rFonts w:cs="Arial"/>
        </w:rPr>
        <w:t xml:space="preserve">compliance </w:t>
      </w:r>
      <w:r>
        <w:rPr>
          <w:rFonts w:cs="Arial"/>
        </w:rPr>
        <w:t xml:space="preserve">testing of </w:t>
      </w:r>
      <w:r w:rsidR="005616C5">
        <w:rPr>
          <w:rFonts w:cs="Arial"/>
        </w:rPr>
        <w:t>tutin in honey</w:t>
      </w:r>
      <w:r>
        <w:rPr>
          <w:rFonts w:cs="Arial"/>
        </w:rPr>
        <w:t xml:space="preserve"> (AsureQuality, Wellington</w:t>
      </w:r>
      <w:r w:rsidR="005616C5">
        <w:rPr>
          <w:rFonts w:cs="Arial"/>
        </w:rPr>
        <w:t>, New Zealand</w:t>
      </w:r>
      <w:r>
        <w:rPr>
          <w:rFonts w:cs="Arial"/>
        </w:rPr>
        <w:t>)</w:t>
      </w:r>
      <w:r w:rsidRPr="005E1670">
        <w:rPr>
          <w:rFonts w:cs="Arial"/>
        </w:rPr>
        <w:t>.</w:t>
      </w:r>
      <w:r>
        <w:rPr>
          <w:rFonts w:cs="Arial"/>
        </w:rPr>
        <w:t xml:space="preserve"> </w:t>
      </w:r>
    </w:p>
    <w:p w:rsidR="00F56E9A" w:rsidRDefault="00F56E9A">
      <w:pPr>
        <w:widowControl/>
        <w:rPr>
          <w:rFonts w:cs="Arial"/>
        </w:rPr>
      </w:pPr>
    </w:p>
    <w:p w:rsidR="00F56E9A" w:rsidRPr="00C46C9B" w:rsidRDefault="0053269B" w:rsidP="00F56E9A">
      <w:pPr>
        <w:widowControl/>
        <w:rPr>
          <w:rFonts w:cs="Arial"/>
          <w:lang w:val="en-US"/>
        </w:rPr>
      </w:pPr>
      <w:r>
        <w:rPr>
          <w:rFonts w:cs="Arial"/>
          <w:lang w:val="en-US"/>
        </w:rPr>
        <w:t xml:space="preserve">The tutin dose </w:t>
      </w:r>
      <w:r w:rsidR="00A737F8">
        <w:rPr>
          <w:rFonts w:cs="Arial"/>
          <w:lang w:val="en-US"/>
        </w:rPr>
        <w:t xml:space="preserve">administered </w:t>
      </w:r>
      <w:r w:rsidR="00A737F8" w:rsidRPr="00A737F8">
        <w:rPr>
          <w:rFonts w:cs="Arial"/>
          <w:lang w:val="en-US"/>
        </w:rPr>
        <w:t xml:space="preserve">in this study </w:t>
      </w:r>
      <w:r>
        <w:rPr>
          <w:rFonts w:cs="Arial"/>
          <w:lang w:val="en-US"/>
        </w:rPr>
        <w:t>(</w:t>
      </w:r>
      <w:r w:rsidRPr="00A737F8">
        <w:rPr>
          <w:rFonts w:cs="Arial"/>
          <w:lang w:val="en-US"/>
        </w:rPr>
        <w:t xml:space="preserve">1.8 µg/kg </w:t>
      </w:r>
      <w:r>
        <w:rPr>
          <w:rFonts w:cs="Arial"/>
          <w:lang w:val="en-US"/>
        </w:rPr>
        <w:t>bw)</w:t>
      </w:r>
      <w:r w:rsidRPr="00A737F8">
        <w:rPr>
          <w:rFonts w:cs="Arial"/>
          <w:lang w:val="en-US"/>
        </w:rPr>
        <w:t xml:space="preserve"> </w:t>
      </w:r>
      <w:r w:rsidR="00A737F8" w:rsidRPr="00A737F8">
        <w:rPr>
          <w:rFonts w:cs="Arial"/>
          <w:lang w:val="en-US"/>
        </w:rPr>
        <w:t>was equal to that received by a high consumer of honey (97.5</w:t>
      </w:r>
      <w:r w:rsidR="00A737F8" w:rsidRPr="00A737F8">
        <w:rPr>
          <w:rFonts w:cs="Arial"/>
          <w:vertAlign w:val="superscript"/>
          <w:lang w:val="en-US"/>
        </w:rPr>
        <w:t>th</w:t>
      </w:r>
      <w:r w:rsidR="00A737F8" w:rsidRPr="00A737F8">
        <w:rPr>
          <w:rFonts w:cs="Arial"/>
          <w:lang w:val="en-US"/>
        </w:rPr>
        <w:t xml:space="preserve"> percent</w:t>
      </w:r>
      <w:r w:rsidR="00B7708C">
        <w:rPr>
          <w:rFonts w:cs="Arial"/>
          <w:lang w:val="en-US"/>
        </w:rPr>
        <w:t>ile = 0.9 g honey/kg bw</w:t>
      </w:r>
      <w:r w:rsidR="00E105ED">
        <w:rPr>
          <w:rFonts w:cs="Arial"/>
          <w:lang w:val="en-US"/>
        </w:rPr>
        <w:t>; see Section 3</w:t>
      </w:r>
      <w:r w:rsidR="00A737F8" w:rsidRPr="00A737F8">
        <w:rPr>
          <w:rFonts w:cs="Arial"/>
          <w:lang w:val="en-US"/>
        </w:rPr>
        <w:t xml:space="preserve">) containing tutin at the current maximum level </w:t>
      </w:r>
      <w:r w:rsidR="00A737F8">
        <w:rPr>
          <w:rFonts w:cs="Arial"/>
          <w:lang w:val="en-US"/>
        </w:rPr>
        <w:t xml:space="preserve">(ML) </w:t>
      </w:r>
      <w:r w:rsidR="00A737F8" w:rsidRPr="00A737F8">
        <w:rPr>
          <w:rFonts w:cs="Arial"/>
          <w:lang w:val="en-US"/>
        </w:rPr>
        <w:t xml:space="preserve">permitted </w:t>
      </w:r>
      <w:r w:rsidR="000F7351">
        <w:rPr>
          <w:rFonts w:cs="Arial"/>
          <w:lang w:val="en-US"/>
        </w:rPr>
        <w:t>in the</w:t>
      </w:r>
      <w:r w:rsidR="00B7708C">
        <w:rPr>
          <w:rFonts w:cs="Arial"/>
          <w:lang w:val="en-US"/>
        </w:rPr>
        <w:t xml:space="preserve"> Code (2 </w:t>
      </w:r>
      <w:r w:rsidR="00971866">
        <w:rPr>
          <w:rFonts w:cs="Arial"/>
          <w:lang w:val="en-US"/>
        </w:rPr>
        <w:t>mg/kg honey) (FSANZ</w:t>
      </w:r>
      <w:r w:rsidR="00A737F8" w:rsidRPr="00A737F8">
        <w:rPr>
          <w:rFonts w:cs="Arial"/>
          <w:lang w:val="en-US"/>
        </w:rPr>
        <w:t xml:space="preserve"> 2014).</w:t>
      </w:r>
      <w:r w:rsidR="006B614D">
        <w:rPr>
          <w:rFonts w:cs="Arial"/>
          <w:lang w:val="en-US"/>
        </w:rPr>
        <w:t xml:space="preserve"> </w:t>
      </w:r>
      <w:r w:rsidR="00F56E9A" w:rsidRPr="000D58F0">
        <w:rPr>
          <w:rFonts w:cs="Arial"/>
          <w:lang w:val="en-US"/>
        </w:rPr>
        <w:t>The mass of honey admini</w:t>
      </w:r>
      <w:r w:rsidR="00B7708C">
        <w:rPr>
          <w:rFonts w:cs="Arial"/>
          <w:lang w:val="en-US"/>
        </w:rPr>
        <w:t>stered ranged from 25.0 to 32.0 </w:t>
      </w:r>
      <w:r w:rsidR="00F56E9A" w:rsidRPr="000D58F0">
        <w:rPr>
          <w:rFonts w:cs="Arial"/>
          <w:lang w:val="en-US"/>
        </w:rPr>
        <w:t>g for subjects with the lowest and highest body weight, respectively</w:t>
      </w:r>
      <w:r w:rsidR="00F56E9A">
        <w:rPr>
          <w:rFonts w:cs="Arial"/>
          <w:lang w:val="en-US"/>
        </w:rPr>
        <w:t xml:space="preserve"> (71.4 and 89.6 kg)</w:t>
      </w:r>
      <w:r w:rsidR="00F56E9A" w:rsidRPr="000D58F0">
        <w:rPr>
          <w:rFonts w:cs="Arial"/>
          <w:lang w:val="en-US"/>
        </w:rPr>
        <w:t>.</w:t>
      </w:r>
      <w:r w:rsidR="003C7E05">
        <w:rPr>
          <w:rFonts w:cs="Arial"/>
          <w:lang w:val="en-US"/>
        </w:rPr>
        <w:t xml:space="preserve"> Subject age range was 21-40 y. </w:t>
      </w:r>
      <w:r w:rsidR="00B7708C" w:rsidRPr="00B7708C">
        <w:rPr>
          <w:rFonts w:cs="Arial"/>
        </w:rPr>
        <w:t>Prior to dosing</w:t>
      </w:r>
      <w:r w:rsidR="00B7708C">
        <w:rPr>
          <w:rFonts w:cs="Arial"/>
        </w:rPr>
        <w:t>,</w:t>
      </w:r>
      <w:r w:rsidR="00B7708C" w:rsidRPr="00B7708C">
        <w:rPr>
          <w:rFonts w:cs="Arial"/>
        </w:rPr>
        <w:t xml:space="preserve"> </w:t>
      </w:r>
      <w:r w:rsidR="00B7708C">
        <w:rPr>
          <w:rFonts w:cs="Arial"/>
        </w:rPr>
        <w:t>subjects</w:t>
      </w:r>
      <w:r w:rsidR="00B7708C" w:rsidRPr="00B7708C">
        <w:rPr>
          <w:rFonts w:cs="Arial"/>
        </w:rPr>
        <w:t xml:space="preserve"> fasted for 8 h then drank a </w:t>
      </w:r>
      <w:r w:rsidR="003C7E05">
        <w:rPr>
          <w:rFonts w:cs="Arial"/>
        </w:rPr>
        <w:t xml:space="preserve">single dose of </w:t>
      </w:r>
      <w:r w:rsidR="00B7708C" w:rsidRPr="00B7708C">
        <w:rPr>
          <w:rFonts w:cs="Arial"/>
        </w:rPr>
        <w:t>honey m</w:t>
      </w:r>
      <w:r w:rsidR="00594901">
        <w:rPr>
          <w:rFonts w:cs="Arial"/>
        </w:rPr>
        <w:t>ixed with approximately 100 mL</w:t>
      </w:r>
      <w:r w:rsidR="00B7708C" w:rsidRPr="00B7708C">
        <w:rPr>
          <w:rFonts w:cs="Arial"/>
        </w:rPr>
        <w:t xml:space="preserve"> of warm water (approximately 40</w:t>
      </w:r>
      <w:r w:rsidR="00594901" w:rsidRPr="00C46C9B">
        <w:rPr>
          <w:rFonts w:cs="Arial"/>
          <w:vertAlign w:val="superscript"/>
        </w:rPr>
        <w:t xml:space="preserve"> </w:t>
      </w:r>
      <w:r w:rsidR="00B7708C" w:rsidRPr="00B7708C">
        <w:rPr>
          <w:rFonts w:cs="Arial"/>
        </w:rPr>
        <w:t>°C). The dose was consumed within approximately 1 min, after which time the dose receptacle was</w:t>
      </w:r>
      <w:r w:rsidR="00B7708C">
        <w:rPr>
          <w:rFonts w:cs="Arial"/>
        </w:rPr>
        <w:t xml:space="preserve"> rinsed with approximately 15 mL</w:t>
      </w:r>
      <w:r w:rsidR="00B7708C" w:rsidRPr="00B7708C">
        <w:rPr>
          <w:rFonts w:cs="Arial"/>
        </w:rPr>
        <w:t xml:space="preserve"> of warm water and the rinse co</w:t>
      </w:r>
      <w:r w:rsidR="00B7708C">
        <w:rPr>
          <w:rFonts w:cs="Arial"/>
        </w:rPr>
        <w:t xml:space="preserve">nsumed by the subject. Subjects </w:t>
      </w:r>
      <w:r w:rsidR="00B7708C" w:rsidRPr="00B7708C">
        <w:rPr>
          <w:rFonts w:cs="Arial"/>
        </w:rPr>
        <w:t>remained fasted until 4 h post-dose.</w:t>
      </w:r>
    </w:p>
    <w:p w:rsidR="00B7708C" w:rsidRDefault="00B7708C" w:rsidP="00F56E9A">
      <w:pPr>
        <w:widowControl/>
        <w:rPr>
          <w:rFonts w:cs="Arial"/>
        </w:rPr>
      </w:pPr>
    </w:p>
    <w:p w:rsidR="00A737F8" w:rsidRDefault="00A737F8">
      <w:pPr>
        <w:widowControl/>
        <w:rPr>
          <w:rFonts w:cs="Arial"/>
          <w:lang w:val="en-US"/>
        </w:rPr>
      </w:pPr>
      <w:r w:rsidRPr="00A737F8">
        <w:rPr>
          <w:rFonts w:cs="Arial"/>
          <w:lang w:val="en-US"/>
        </w:rPr>
        <w:t xml:space="preserve">Serum concentrations of tutin for the sentinel subject </w:t>
      </w:r>
      <w:r w:rsidR="0069051B">
        <w:rPr>
          <w:rFonts w:cs="Arial"/>
          <w:lang w:val="en-US"/>
        </w:rPr>
        <w:t xml:space="preserve">(subject 1) </w:t>
      </w:r>
      <w:r w:rsidRPr="00A737F8">
        <w:rPr>
          <w:rFonts w:cs="Arial"/>
          <w:lang w:val="en-US"/>
        </w:rPr>
        <w:t>were measured using a validated LC-MS/MS method adapted from the method</w:t>
      </w:r>
      <w:r w:rsidR="000D58F0">
        <w:rPr>
          <w:rFonts w:cs="Arial"/>
          <w:lang w:val="en-US"/>
        </w:rPr>
        <w:t xml:space="preserve"> used for analysis of the </w:t>
      </w:r>
      <w:r w:rsidRPr="00A737F8">
        <w:rPr>
          <w:rFonts w:cs="Arial"/>
          <w:lang w:val="en-US"/>
        </w:rPr>
        <w:t>honey sample.</w:t>
      </w:r>
      <w:r w:rsidR="002D7A25">
        <w:rPr>
          <w:rFonts w:cs="Arial"/>
          <w:lang w:val="en-US"/>
        </w:rPr>
        <w:t xml:space="preserve"> </w:t>
      </w:r>
      <w:r w:rsidR="003B3A76">
        <w:rPr>
          <w:rFonts w:cs="Arial"/>
          <w:lang w:val="en-US"/>
        </w:rPr>
        <w:t>The serum</w:t>
      </w:r>
      <w:r w:rsidR="007773EC" w:rsidRPr="007773EC">
        <w:rPr>
          <w:rFonts w:cs="Arial"/>
          <w:lang w:val="en-US"/>
        </w:rPr>
        <w:t xml:space="preserve"> method had a limit of detection (LOD) of 0.4 ng/m</w:t>
      </w:r>
      <w:r w:rsidR="003B3A76">
        <w:rPr>
          <w:rFonts w:cs="Arial"/>
          <w:lang w:val="en-US"/>
        </w:rPr>
        <w:t>L</w:t>
      </w:r>
      <w:r w:rsidR="007773EC" w:rsidRPr="007773EC">
        <w:rPr>
          <w:rFonts w:cs="Arial"/>
          <w:lang w:val="en-US"/>
        </w:rPr>
        <w:t xml:space="preserve"> and a limit of quantification (LOQ) of 1.0 ng/m</w:t>
      </w:r>
      <w:r w:rsidR="007773EC">
        <w:rPr>
          <w:rFonts w:cs="Arial"/>
          <w:lang w:val="en-US"/>
        </w:rPr>
        <w:t>L</w:t>
      </w:r>
      <w:r w:rsidR="007773EC" w:rsidRPr="007773EC">
        <w:rPr>
          <w:rFonts w:cs="Arial"/>
          <w:lang w:val="en-US"/>
        </w:rPr>
        <w:t>. Following analysis of serum samples from the sentinel subject, two additional samples (at 36 and 48 h post-dose) were collected for subjects 2 to 6. Since tutin was not detected in serum at the first two time points</w:t>
      </w:r>
      <w:r w:rsidR="00E8778B">
        <w:rPr>
          <w:rFonts w:cs="Arial"/>
          <w:lang w:val="en-US"/>
        </w:rPr>
        <w:t xml:space="preserve"> post-dose</w:t>
      </w:r>
      <w:r w:rsidR="007773EC">
        <w:rPr>
          <w:rFonts w:cs="Arial"/>
          <w:lang w:val="en-US"/>
        </w:rPr>
        <w:t xml:space="preserve"> for subject 1</w:t>
      </w:r>
      <w:r w:rsidR="007773EC" w:rsidRPr="007773EC">
        <w:rPr>
          <w:rFonts w:cs="Arial"/>
          <w:lang w:val="en-US"/>
        </w:rPr>
        <w:t>, the assay method was modified to improve sensitivity. The result</w:t>
      </w:r>
      <w:r w:rsidR="007773EC">
        <w:rPr>
          <w:rFonts w:cs="Arial"/>
          <w:lang w:val="en-US"/>
        </w:rPr>
        <w:t>ing LOD and LOQ values</w:t>
      </w:r>
      <w:r w:rsidR="007773EC" w:rsidRPr="007773EC">
        <w:rPr>
          <w:rFonts w:cs="Arial"/>
          <w:lang w:val="en-US"/>
        </w:rPr>
        <w:t xml:space="preserve"> were reduced to 0.1 and 0.3 ng/m</w:t>
      </w:r>
      <w:r w:rsidR="007773EC">
        <w:rPr>
          <w:rFonts w:cs="Arial"/>
          <w:lang w:val="en-US"/>
        </w:rPr>
        <w:t>L</w:t>
      </w:r>
      <w:r w:rsidR="007773EC" w:rsidRPr="007773EC">
        <w:rPr>
          <w:rFonts w:cs="Arial"/>
          <w:lang w:val="en-US"/>
        </w:rPr>
        <w:t>, respectively. This modified method was used for the analysis of serum from subjects 2 to 6.</w:t>
      </w:r>
      <w:r w:rsidR="007773EC">
        <w:rPr>
          <w:rFonts w:cs="Arial"/>
          <w:lang w:val="en-US"/>
        </w:rPr>
        <w:t xml:space="preserve"> </w:t>
      </w:r>
      <w:r w:rsidR="006529F5">
        <w:rPr>
          <w:rFonts w:cs="Arial"/>
          <w:lang w:val="en-US"/>
        </w:rPr>
        <w:t xml:space="preserve">Results are shown in </w:t>
      </w:r>
      <w:r w:rsidR="00E8778B" w:rsidRPr="00C46C9B">
        <w:rPr>
          <w:rFonts w:cs="Arial"/>
          <w:lang w:val="en-US"/>
        </w:rPr>
        <w:t>Table 1</w:t>
      </w:r>
      <w:r w:rsidR="006529F5" w:rsidRPr="00CB2985">
        <w:t xml:space="preserve"> </w:t>
      </w:r>
      <w:r w:rsidR="006529F5" w:rsidRPr="00E63684">
        <w:rPr>
          <w:rFonts w:cs="Arial"/>
          <w:lang w:val="en-US"/>
        </w:rPr>
        <w:t xml:space="preserve">and graphically in Figures </w:t>
      </w:r>
      <w:r w:rsidR="00E8778B" w:rsidRPr="00C46C9B">
        <w:rPr>
          <w:rFonts w:cs="Arial"/>
          <w:lang w:val="en-US"/>
        </w:rPr>
        <w:t>1 and 2</w:t>
      </w:r>
      <w:r w:rsidR="006529F5" w:rsidRPr="00CB2985">
        <w:rPr>
          <w:rFonts w:cs="Arial"/>
          <w:lang w:val="en-US"/>
        </w:rPr>
        <w:t>.</w:t>
      </w:r>
    </w:p>
    <w:p w:rsidR="0023384F" w:rsidRDefault="0023384F">
      <w:pPr>
        <w:widowControl/>
        <w:rPr>
          <w:rFonts w:cs="Arial"/>
          <w:lang w:val="en-US"/>
        </w:rPr>
      </w:pPr>
    </w:p>
    <w:p w:rsidR="00077F3C" w:rsidRPr="00077F3C" w:rsidRDefault="00077F3C" w:rsidP="00077F3C">
      <w:pPr>
        <w:widowControl/>
        <w:rPr>
          <w:rFonts w:cs="Arial"/>
        </w:rPr>
      </w:pPr>
      <w:r>
        <w:rPr>
          <w:rFonts w:cs="Arial"/>
        </w:rPr>
        <w:t>P</w:t>
      </w:r>
      <w:r w:rsidRPr="00077F3C">
        <w:rPr>
          <w:rFonts w:cs="Arial"/>
        </w:rPr>
        <w:t xml:space="preserve">harmacokinetic parameters were </w:t>
      </w:r>
      <w:r>
        <w:rPr>
          <w:rFonts w:cs="Arial"/>
        </w:rPr>
        <w:t xml:space="preserve">calculated </w:t>
      </w:r>
      <w:r w:rsidRPr="00077F3C">
        <w:rPr>
          <w:rFonts w:cs="Arial"/>
        </w:rPr>
        <w:t xml:space="preserve">using non-compartmental methods </w:t>
      </w:r>
      <w:r w:rsidR="00B55AC1">
        <w:rPr>
          <w:rFonts w:cs="Arial"/>
        </w:rPr>
        <w:t>in</w:t>
      </w:r>
      <w:r w:rsidRPr="00077F3C">
        <w:rPr>
          <w:rFonts w:cs="Arial"/>
        </w:rPr>
        <w:t xml:space="preserve"> PKSolver, version 2.0 </w:t>
      </w:r>
      <w:r>
        <w:rPr>
          <w:rFonts w:cs="Arial"/>
        </w:rPr>
        <w:t>(</w:t>
      </w:r>
      <w:r w:rsidRPr="00077F3C">
        <w:rPr>
          <w:rFonts w:cs="Arial"/>
        </w:rPr>
        <w:t>Zhang et al 2010). The area under the serum concentration–time curve</w:t>
      </w:r>
      <w:r w:rsidR="00E86085">
        <w:rPr>
          <w:rFonts w:cs="Arial"/>
        </w:rPr>
        <w:t xml:space="preserve"> over the sampling time period</w:t>
      </w:r>
      <w:r w:rsidRPr="00077F3C">
        <w:rPr>
          <w:rFonts w:cs="Arial"/>
        </w:rPr>
        <w:t xml:space="preserve"> (AUC</w:t>
      </w:r>
      <w:r w:rsidR="00E86085" w:rsidRPr="00C46C9B">
        <w:rPr>
          <w:rFonts w:cs="Arial"/>
          <w:vertAlign w:val="subscript"/>
        </w:rPr>
        <w:t xml:space="preserve"> </w:t>
      </w:r>
      <w:r w:rsidRPr="00C46C9B">
        <w:rPr>
          <w:rFonts w:cs="Arial"/>
          <w:vertAlign w:val="subscript"/>
        </w:rPr>
        <w:t>0-t</w:t>
      </w:r>
      <w:r w:rsidR="00E86085">
        <w:rPr>
          <w:rFonts w:cs="Arial"/>
        </w:rPr>
        <w:t>)</w:t>
      </w:r>
      <w:r w:rsidRPr="00077F3C">
        <w:rPr>
          <w:rFonts w:cs="Arial"/>
        </w:rPr>
        <w:t xml:space="preserve"> </w:t>
      </w:r>
      <w:r w:rsidR="00E86085">
        <w:rPr>
          <w:rFonts w:cs="Arial"/>
        </w:rPr>
        <w:t xml:space="preserve">and extrapolated to infinite time (AUC </w:t>
      </w:r>
      <w:r w:rsidR="00E86085" w:rsidRPr="00C46C9B">
        <w:rPr>
          <w:rFonts w:cs="Arial"/>
          <w:vertAlign w:val="subscript"/>
        </w:rPr>
        <w:t>0-∞</w:t>
      </w:r>
      <w:r w:rsidR="00E86085">
        <w:rPr>
          <w:rFonts w:cs="Arial"/>
        </w:rPr>
        <w:t xml:space="preserve">) </w:t>
      </w:r>
      <w:r w:rsidRPr="00077F3C">
        <w:rPr>
          <w:rFonts w:cs="Arial"/>
        </w:rPr>
        <w:t xml:space="preserve">were determined using the log-linear trapezoidal method. </w:t>
      </w:r>
      <w:r w:rsidR="00A154B1">
        <w:rPr>
          <w:rFonts w:cs="Arial"/>
        </w:rPr>
        <w:t xml:space="preserve">A </w:t>
      </w:r>
      <w:r w:rsidR="003477F7">
        <w:rPr>
          <w:rFonts w:cs="Arial"/>
        </w:rPr>
        <w:t>two-</w:t>
      </w:r>
      <w:r w:rsidR="00A154B1">
        <w:rPr>
          <w:rFonts w:cs="Arial"/>
        </w:rPr>
        <w:t xml:space="preserve">site </w:t>
      </w:r>
      <w:r w:rsidR="003477F7">
        <w:rPr>
          <w:rFonts w:cs="Arial"/>
        </w:rPr>
        <w:t xml:space="preserve">absorption </w:t>
      </w:r>
      <w:r w:rsidR="00A154B1">
        <w:rPr>
          <w:rFonts w:cs="Arial"/>
        </w:rPr>
        <w:t xml:space="preserve">model was used to </w:t>
      </w:r>
      <w:r w:rsidR="00F01CB8">
        <w:rPr>
          <w:rFonts w:cs="Arial"/>
        </w:rPr>
        <w:t xml:space="preserve">estimate </w:t>
      </w:r>
      <w:r w:rsidR="00A154B1">
        <w:rPr>
          <w:rFonts w:cs="Arial"/>
        </w:rPr>
        <w:t>t</w:t>
      </w:r>
      <w:r w:rsidR="00B55AC1" w:rsidRPr="00077F3C">
        <w:rPr>
          <w:rFonts w:cs="Arial"/>
        </w:rPr>
        <w:t>he maximum serum concentration (C</w:t>
      </w:r>
      <w:r w:rsidR="00B55AC1" w:rsidRPr="008041B9">
        <w:rPr>
          <w:rFonts w:cs="Arial"/>
          <w:vertAlign w:val="subscript"/>
        </w:rPr>
        <w:t>max</w:t>
      </w:r>
      <w:r w:rsidR="00B55AC1" w:rsidRPr="00077F3C">
        <w:rPr>
          <w:rFonts w:cs="Arial"/>
        </w:rPr>
        <w:t>) and the time to reach C</w:t>
      </w:r>
      <w:r w:rsidR="00B55AC1" w:rsidRPr="008041B9">
        <w:rPr>
          <w:rFonts w:cs="Arial"/>
          <w:vertAlign w:val="subscript"/>
        </w:rPr>
        <w:t>max</w:t>
      </w:r>
      <w:r w:rsidR="00B55AC1" w:rsidRPr="00077F3C">
        <w:rPr>
          <w:rFonts w:cs="Arial"/>
        </w:rPr>
        <w:t xml:space="preserve"> (i</w:t>
      </w:r>
      <w:r w:rsidR="00B55AC1">
        <w:rPr>
          <w:rFonts w:cs="Arial"/>
        </w:rPr>
        <w:t>.</w:t>
      </w:r>
      <w:r w:rsidR="00B55AC1" w:rsidRPr="00077F3C">
        <w:rPr>
          <w:rFonts w:cs="Arial"/>
        </w:rPr>
        <w:t>e</w:t>
      </w:r>
      <w:r w:rsidR="00B55AC1">
        <w:rPr>
          <w:rFonts w:cs="Arial"/>
        </w:rPr>
        <w:t>.</w:t>
      </w:r>
      <w:r w:rsidR="00B55AC1" w:rsidRPr="00077F3C">
        <w:rPr>
          <w:rFonts w:cs="Arial"/>
        </w:rPr>
        <w:t xml:space="preserve"> T</w:t>
      </w:r>
      <w:r w:rsidR="00B55AC1" w:rsidRPr="008041B9">
        <w:rPr>
          <w:rFonts w:cs="Arial"/>
          <w:vertAlign w:val="subscript"/>
        </w:rPr>
        <w:t>max</w:t>
      </w:r>
      <w:r w:rsidR="00B55AC1" w:rsidRPr="00077F3C">
        <w:rPr>
          <w:rFonts w:cs="Arial"/>
        </w:rPr>
        <w:t xml:space="preserve">) using </w:t>
      </w:r>
      <w:r w:rsidR="00F01CB8">
        <w:rPr>
          <w:rFonts w:cs="Arial"/>
        </w:rPr>
        <w:t xml:space="preserve">the </w:t>
      </w:r>
      <w:r w:rsidR="00B55AC1" w:rsidRPr="00077F3C">
        <w:rPr>
          <w:rFonts w:cs="Arial"/>
        </w:rPr>
        <w:t xml:space="preserve">mean </w:t>
      </w:r>
      <w:r w:rsidR="00F01CB8">
        <w:rPr>
          <w:rFonts w:cs="Arial"/>
        </w:rPr>
        <w:t xml:space="preserve">serum tutin concentration </w:t>
      </w:r>
      <w:r w:rsidR="00B55AC1" w:rsidRPr="00077F3C">
        <w:rPr>
          <w:rFonts w:cs="Arial"/>
        </w:rPr>
        <w:t>at each time point</w:t>
      </w:r>
      <w:r w:rsidR="00CC5976">
        <w:rPr>
          <w:rFonts w:cs="Arial"/>
        </w:rPr>
        <w:t xml:space="preserve"> as the input data</w:t>
      </w:r>
      <w:r w:rsidR="00B55AC1" w:rsidRPr="00077F3C">
        <w:rPr>
          <w:rFonts w:cs="Arial"/>
        </w:rPr>
        <w:t xml:space="preserve">. </w:t>
      </w:r>
      <w:r w:rsidRPr="00077F3C">
        <w:rPr>
          <w:rFonts w:cs="Arial"/>
        </w:rPr>
        <w:t>Terminal half-life (t</w:t>
      </w:r>
      <w:r w:rsidRPr="00C46C9B">
        <w:rPr>
          <w:rFonts w:cs="Arial"/>
          <w:vertAlign w:val="subscript"/>
        </w:rPr>
        <w:t>1/2</w:t>
      </w:r>
      <w:r w:rsidRPr="00077F3C">
        <w:rPr>
          <w:rFonts w:cs="Arial"/>
        </w:rPr>
        <w:t>) was calculated by linear regression analysis of the last data points</w:t>
      </w:r>
      <w:r w:rsidR="00237718">
        <w:rPr>
          <w:rFonts w:cs="Arial"/>
        </w:rPr>
        <w:t xml:space="preserve"> (≥16 h)</w:t>
      </w:r>
      <w:r w:rsidRPr="00077F3C">
        <w:rPr>
          <w:rFonts w:cs="Arial"/>
        </w:rPr>
        <w:t xml:space="preserve"> after log-transformation of the data using the best-fit method. </w:t>
      </w:r>
    </w:p>
    <w:p w:rsidR="00077F3C" w:rsidRDefault="00077F3C" w:rsidP="0023384F">
      <w:pPr>
        <w:widowControl/>
        <w:rPr>
          <w:rFonts w:cs="Arial"/>
          <w:lang w:val="en-US"/>
        </w:rPr>
      </w:pPr>
    </w:p>
    <w:p w:rsidR="0023384F" w:rsidRDefault="0023384F" w:rsidP="0023384F">
      <w:pPr>
        <w:widowControl/>
        <w:rPr>
          <w:rFonts w:cs="Arial"/>
          <w:lang w:val="en-US"/>
        </w:rPr>
      </w:pPr>
      <w:r w:rsidRPr="006529F5">
        <w:rPr>
          <w:rFonts w:cs="Arial"/>
          <w:lang w:val="en-US"/>
        </w:rPr>
        <w:t xml:space="preserve">The serum concentration versus time profile for the sentinel subject (Subject 1) exhibited a peak concentration </w:t>
      </w:r>
      <w:r>
        <w:rPr>
          <w:rFonts w:cs="Arial"/>
          <w:lang w:val="en-US"/>
        </w:rPr>
        <w:t>of 2.0 ng/mL</w:t>
      </w:r>
      <w:r w:rsidRPr="006529F5">
        <w:rPr>
          <w:rFonts w:cs="Arial"/>
          <w:lang w:val="en-US"/>
        </w:rPr>
        <w:t xml:space="preserve"> at consecutive sampling times of 1.5, 2 and 3 h post dose. The serum tutin concentration then </w:t>
      </w:r>
      <w:r>
        <w:rPr>
          <w:rFonts w:cs="Arial"/>
          <w:lang w:val="en-US"/>
        </w:rPr>
        <w:t>decreased gradually to 1.5 ng/mL</w:t>
      </w:r>
      <w:r w:rsidRPr="006529F5">
        <w:rPr>
          <w:rFonts w:cs="Arial"/>
          <w:lang w:val="en-US"/>
        </w:rPr>
        <w:t xml:space="preserve"> by 8 h post-dose before increasing to a ma</w:t>
      </w:r>
      <w:r>
        <w:rPr>
          <w:rFonts w:cs="Arial"/>
          <w:lang w:val="en-US"/>
        </w:rPr>
        <w:t>ximum concentration of 2.7 ng/mL</w:t>
      </w:r>
      <w:r w:rsidRPr="006529F5">
        <w:rPr>
          <w:rFonts w:cs="Arial"/>
          <w:lang w:val="en-US"/>
        </w:rPr>
        <w:t xml:space="preserve"> at the final time point (24 h post-dose). Based on these results</w:t>
      </w:r>
      <w:r>
        <w:rPr>
          <w:rFonts w:cs="Arial"/>
          <w:lang w:val="en-US"/>
        </w:rPr>
        <w:t>,</w:t>
      </w:r>
      <w:r w:rsidRPr="006529F5">
        <w:rPr>
          <w:rFonts w:cs="Arial"/>
          <w:lang w:val="en-US"/>
        </w:rPr>
        <w:t xml:space="preserve"> additional blood sampling at 36 h and to 48 h post dose was included for subjects 2 to 6. </w:t>
      </w:r>
    </w:p>
    <w:p w:rsidR="002D7A25" w:rsidRDefault="002D7A25">
      <w:pPr>
        <w:widowControl/>
        <w:rPr>
          <w:rFonts w:cs="Arial"/>
          <w:lang w:val="en-US"/>
        </w:rPr>
      </w:pPr>
    </w:p>
    <w:p w:rsidR="004B6553" w:rsidRDefault="004B6553">
      <w:pPr>
        <w:widowControl/>
        <w:rPr>
          <w:rFonts w:cs="Arial"/>
          <w:b/>
          <w:szCs w:val="22"/>
          <w:lang w:val="en-US" w:eastAsia="de-DE" w:bidi="ar-SA"/>
        </w:rPr>
      </w:pPr>
      <w:r>
        <w:rPr>
          <w:rFonts w:cs="Arial"/>
          <w:b/>
          <w:szCs w:val="22"/>
          <w:lang w:val="en-US" w:eastAsia="de-DE" w:bidi="ar-SA"/>
        </w:rPr>
        <w:br w:type="page"/>
      </w:r>
    </w:p>
    <w:p w:rsidR="002D7A25" w:rsidRPr="002D7A25" w:rsidRDefault="00E8778B" w:rsidP="002D7A25">
      <w:pPr>
        <w:widowControl/>
        <w:spacing w:after="120" w:line="360" w:lineRule="auto"/>
        <w:rPr>
          <w:rFonts w:cs="Arial"/>
          <w:b/>
          <w:szCs w:val="22"/>
          <w:lang w:val="en-US" w:eastAsia="de-DE" w:bidi="ar-SA"/>
        </w:rPr>
      </w:pPr>
      <w:r>
        <w:rPr>
          <w:rFonts w:cs="Arial"/>
          <w:b/>
          <w:szCs w:val="22"/>
          <w:lang w:val="en-US" w:eastAsia="de-DE" w:bidi="ar-SA"/>
        </w:rPr>
        <w:lastRenderedPageBreak/>
        <w:t>Table 1</w:t>
      </w:r>
      <w:r w:rsidR="00B739BC">
        <w:rPr>
          <w:rFonts w:cs="Arial"/>
          <w:b/>
          <w:szCs w:val="22"/>
          <w:lang w:val="en-US" w:eastAsia="de-DE" w:bidi="ar-SA"/>
        </w:rPr>
        <w:t>:</w:t>
      </w:r>
      <w:r w:rsidR="002D7A25">
        <w:rPr>
          <w:rFonts w:cs="Arial"/>
          <w:b/>
          <w:szCs w:val="22"/>
          <w:lang w:val="en-US" w:eastAsia="de-DE" w:bidi="ar-SA"/>
        </w:rPr>
        <w:t xml:space="preserve"> </w:t>
      </w:r>
      <w:r w:rsidR="002D7A25" w:rsidRPr="002D7A25">
        <w:rPr>
          <w:rFonts w:cs="Arial"/>
          <w:b/>
          <w:szCs w:val="22"/>
          <w:lang w:val="en-US" w:eastAsia="de-DE" w:bidi="ar-SA"/>
        </w:rPr>
        <w:t>Serum tutin concentration versus blood sampling time.</w:t>
      </w:r>
    </w:p>
    <w:tbl>
      <w:tblPr>
        <w:tblStyle w:val="TableGrid11"/>
        <w:tblW w:w="0" w:type="auto"/>
        <w:tblLayout w:type="fixed"/>
        <w:tblLook w:val="04A0" w:firstRow="1" w:lastRow="0" w:firstColumn="1" w:lastColumn="0" w:noHBand="0" w:noVBand="1"/>
      </w:tblPr>
      <w:tblGrid>
        <w:gridCol w:w="1526"/>
        <w:gridCol w:w="992"/>
        <w:gridCol w:w="947"/>
        <w:gridCol w:w="1038"/>
        <w:gridCol w:w="992"/>
        <w:gridCol w:w="992"/>
        <w:gridCol w:w="992"/>
        <w:gridCol w:w="1763"/>
      </w:tblGrid>
      <w:tr w:rsidR="002D7A25" w:rsidRPr="002D7A25" w:rsidTr="00C46C9B">
        <w:trPr>
          <w:trHeight w:val="300"/>
        </w:trPr>
        <w:tc>
          <w:tcPr>
            <w:tcW w:w="1526" w:type="dxa"/>
            <w:vMerge w:val="restart"/>
            <w:tcBorders>
              <w:top w:val="single" w:sz="4" w:space="0" w:color="auto"/>
              <w:left w:val="single" w:sz="4" w:space="0" w:color="auto"/>
              <w:bottom w:val="single" w:sz="4" w:space="0" w:color="auto"/>
              <w:right w:val="single" w:sz="4" w:space="0" w:color="auto"/>
            </w:tcBorders>
            <w:noWrap/>
            <w:vAlign w:val="center"/>
            <w:hideMark/>
          </w:tcPr>
          <w:p w:rsidR="002D7A25" w:rsidRDefault="002D7A25">
            <w:pPr>
              <w:widowControl/>
              <w:spacing w:before="40" w:after="40"/>
              <w:ind w:hanging="357"/>
              <w:jc w:val="center"/>
              <w:rPr>
                <w:rFonts w:eastAsia="Times New Roman" w:cs="Arial"/>
                <w:sz w:val="20"/>
                <w:szCs w:val="20"/>
                <w:lang w:val="en-US" w:eastAsia="de-DE" w:bidi="ar-SA"/>
              </w:rPr>
            </w:pPr>
            <w:r>
              <w:rPr>
                <w:rFonts w:cs="Arial"/>
                <w:sz w:val="20"/>
                <w:szCs w:val="20"/>
                <w:lang w:val="en-US" w:eastAsia="de-DE" w:bidi="ar-SA"/>
              </w:rPr>
              <w:t>S</w:t>
            </w:r>
            <w:r w:rsidRPr="00C46C9B">
              <w:rPr>
                <w:rFonts w:cs="Arial"/>
                <w:sz w:val="20"/>
                <w:szCs w:val="20"/>
                <w:lang w:val="en-US" w:eastAsia="de-DE" w:bidi="ar-SA"/>
              </w:rPr>
              <w:t>ampling</w:t>
            </w:r>
          </w:p>
          <w:p w:rsidR="002D7A25" w:rsidRPr="00C46C9B" w:rsidRDefault="002D7A25">
            <w:pPr>
              <w:widowControl/>
              <w:spacing w:before="40" w:after="40"/>
              <w:ind w:hanging="357"/>
              <w:jc w:val="center"/>
              <w:rPr>
                <w:rFonts w:cs="Arial"/>
                <w:sz w:val="20"/>
                <w:szCs w:val="20"/>
                <w:lang w:val="en-US" w:eastAsia="de-DE" w:bidi="ar-SA"/>
              </w:rPr>
            </w:pPr>
            <w:r w:rsidRPr="00C46C9B">
              <w:rPr>
                <w:rFonts w:cs="Arial"/>
                <w:sz w:val="20"/>
                <w:szCs w:val="20"/>
                <w:lang w:val="en-US" w:eastAsia="de-DE" w:bidi="ar-SA"/>
              </w:rPr>
              <w:t>time</w:t>
            </w:r>
          </w:p>
          <w:p w:rsidR="002D7A25" w:rsidRDefault="002D7A25">
            <w:pPr>
              <w:widowControl/>
              <w:spacing w:before="40" w:after="40"/>
              <w:ind w:hanging="357"/>
              <w:jc w:val="center"/>
              <w:rPr>
                <w:rFonts w:eastAsia="Times New Roman" w:cs="Arial"/>
                <w:sz w:val="20"/>
                <w:szCs w:val="20"/>
                <w:lang w:val="en-US" w:eastAsia="de-DE" w:bidi="ar-SA"/>
              </w:rPr>
            </w:pPr>
            <w:r w:rsidRPr="00C46C9B">
              <w:rPr>
                <w:rFonts w:cs="Arial"/>
                <w:sz w:val="20"/>
                <w:szCs w:val="20"/>
                <w:lang w:val="en-US" w:eastAsia="de-DE" w:bidi="ar-SA"/>
              </w:rPr>
              <w:t>(hours</w:t>
            </w:r>
          </w:p>
          <w:p w:rsidR="002D7A25" w:rsidRPr="00C46C9B" w:rsidRDefault="002D7A25">
            <w:pPr>
              <w:widowControl/>
              <w:spacing w:before="40" w:after="40"/>
              <w:ind w:hanging="357"/>
              <w:jc w:val="center"/>
              <w:rPr>
                <w:rFonts w:cs="Arial"/>
                <w:sz w:val="20"/>
                <w:szCs w:val="20"/>
                <w:lang w:val="en-US" w:eastAsia="de-DE" w:bidi="ar-SA"/>
              </w:rPr>
            </w:pPr>
            <w:r w:rsidRPr="00C46C9B">
              <w:rPr>
                <w:rFonts w:cs="Arial"/>
                <w:sz w:val="20"/>
                <w:szCs w:val="20"/>
                <w:lang w:val="en-US" w:eastAsia="de-DE" w:bidi="ar-SA"/>
              </w:rPr>
              <w:t>post-dose)</w:t>
            </w:r>
          </w:p>
        </w:tc>
        <w:tc>
          <w:tcPr>
            <w:tcW w:w="7716" w:type="dxa"/>
            <w:gridSpan w:val="7"/>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b/>
                <w:sz w:val="20"/>
                <w:szCs w:val="20"/>
                <w:lang w:val="en-US" w:eastAsia="de-DE" w:bidi="ar-SA"/>
              </w:rPr>
            </w:pPr>
            <w:r w:rsidRPr="00C46C9B">
              <w:rPr>
                <w:rFonts w:cs="Arial"/>
                <w:b/>
                <w:sz w:val="20"/>
                <w:szCs w:val="20"/>
                <w:lang w:val="en-US" w:eastAsia="de-DE" w:bidi="ar-SA"/>
              </w:rPr>
              <w:t>Tutin concentration in serum (ng/m</w:t>
            </w:r>
            <w:r>
              <w:rPr>
                <w:rFonts w:cs="Arial"/>
                <w:b/>
                <w:sz w:val="20"/>
                <w:szCs w:val="20"/>
                <w:lang w:val="en-US" w:eastAsia="de-DE" w:bidi="ar-SA"/>
              </w:rPr>
              <w:t>L</w:t>
            </w:r>
            <w:r w:rsidRPr="00C46C9B">
              <w:rPr>
                <w:rFonts w:cs="Arial"/>
                <w:b/>
                <w:sz w:val="20"/>
                <w:szCs w:val="20"/>
                <w:lang w:val="en-US" w:eastAsia="de-DE" w:bidi="ar-SA"/>
              </w:rPr>
              <w:t>)</w:t>
            </w:r>
          </w:p>
        </w:tc>
      </w:tr>
      <w:tr w:rsidR="002D7A25" w:rsidRPr="002D7A25" w:rsidTr="00C46C9B">
        <w:trPr>
          <w:trHeight w:val="300"/>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rsidP="00C46C9B">
            <w:pPr>
              <w:widowControl/>
              <w:spacing w:before="40" w:after="40"/>
              <w:jc w:val="center"/>
              <w:rPr>
                <w:rFonts w:cs="Arial"/>
                <w:sz w:val="20"/>
                <w:szCs w:val="20"/>
                <w:lang w:val="en-US" w:eastAsia="de-DE" w:bidi="ar-SA"/>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i/>
                <w:iCs/>
                <w:sz w:val="20"/>
                <w:szCs w:val="20"/>
                <w:lang w:val="en-US" w:eastAsia="de-DE" w:bidi="ar-SA"/>
              </w:rPr>
            </w:pPr>
            <w:r w:rsidRPr="00C46C9B">
              <w:rPr>
                <w:rFonts w:cs="Arial"/>
                <w:i/>
                <w:iCs/>
                <w:sz w:val="20"/>
                <w:szCs w:val="20"/>
                <w:lang w:val="en-US" w:eastAsia="de-DE" w:bidi="ar-SA"/>
              </w:rPr>
              <w:t>Subject 1</w:t>
            </w:r>
            <w:r w:rsidRPr="00C46C9B">
              <w:rPr>
                <w:rFonts w:cs="Arial"/>
                <w:iCs/>
                <w:sz w:val="20"/>
                <w:szCs w:val="20"/>
                <w:vertAlign w:val="superscript"/>
                <w:lang w:val="en-US" w:eastAsia="de-DE" w:bidi="ar-SA"/>
              </w:rPr>
              <w:t>†</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i/>
                <w:iCs/>
                <w:sz w:val="20"/>
                <w:szCs w:val="20"/>
                <w:lang w:val="en-US" w:eastAsia="de-DE" w:bidi="ar-SA"/>
              </w:rPr>
            </w:pPr>
            <w:r w:rsidRPr="00C46C9B">
              <w:rPr>
                <w:rFonts w:cs="Arial"/>
                <w:i/>
                <w:iCs/>
                <w:sz w:val="20"/>
                <w:szCs w:val="20"/>
                <w:lang w:val="en-US" w:eastAsia="de-DE" w:bidi="ar-SA"/>
              </w:rPr>
              <w:t>Subject 2</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i/>
                <w:iCs/>
                <w:sz w:val="20"/>
                <w:szCs w:val="20"/>
                <w:lang w:val="en-US" w:eastAsia="de-DE" w:bidi="ar-SA"/>
              </w:rPr>
            </w:pPr>
            <w:r w:rsidRPr="00C46C9B">
              <w:rPr>
                <w:rFonts w:cs="Arial"/>
                <w:i/>
                <w:iCs/>
                <w:sz w:val="20"/>
                <w:szCs w:val="20"/>
                <w:lang w:val="en-US" w:eastAsia="de-DE" w:bidi="ar-SA"/>
              </w:rPr>
              <w:t>Subject 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i/>
                <w:iCs/>
                <w:sz w:val="20"/>
                <w:szCs w:val="20"/>
                <w:lang w:val="en-US" w:eastAsia="de-DE" w:bidi="ar-SA"/>
              </w:rPr>
            </w:pPr>
            <w:r w:rsidRPr="00C46C9B">
              <w:rPr>
                <w:rFonts w:cs="Arial"/>
                <w:i/>
                <w:iCs/>
                <w:sz w:val="20"/>
                <w:szCs w:val="20"/>
                <w:lang w:val="en-US" w:eastAsia="de-DE" w:bidi="ar-SA"/>
              </w:rPr>
              <w:t>Subject 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i/>
                <w:iCs/>
                <w:sz w:val="20"/>
                <w:szCs w:val="20"/>
                <w:lang w:val="en-US" w:eastAsia="de-DE" w:bidi="ar-SA"/>
              </w:rPr>
            </w:pPr>
            <w:r w:rsidRPr="00C46C9B">
              <w:rPr>
                <w:rFonts w:cs="Arial"/>
                <w:i/>
                <w:iCs/>
                <w:sz w:val="20"/>
                <w:szCs w:val="20"/>
                <w:lang w:val="en-US" w:eastAsia="de-DE" w:bidi="ar-SA"/>
              </w:rPr>
              <w:t>Subject 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i/>
                <w:iCs/>
                <w:sz w:val="20"/>
                <w:szCs w:val="20"/>
                <w:lang w:val="en-US" w:eastAsia="de-DE" w:bidi="ar-SA"/>
              </w:rPr>
            </w:pPr>
            <w:r w:rsidRPr="00C46C9B">
              <w:rPr>
                <w:rFonts w:cs="Arial"/>
                <w:i/>
                <w:iCs/>
                <w:sz w:val="20"/>
                <w:szCs w:val="20"/>
                <w:lang w:val="en-US" w:eastAsia="de-DE" w:bidi="ar-SA"/>
              </w:rPr>
              <w:t>Subject 6</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i/>
                <w:iCs/>
                <w:sz w:val="20"/>
                <w:szCs w:val="20"/>
                <w:lang w:val="en-US" w:eastAsia="de-DE" w:bidi="ar-SA"/>
              </w:rPr>
            </w:pPr>
            <w:r w:rsidRPr="00C46C9B">
              <w:rPr>
                <w:rFonts w:cs="Arial"/>
                <w:i/>
                <w:iCs/>
                <w:sz w:val="20"/>
                <w:szCs w:val="20"/>
                <w:lang w:val="en-US" w:eastAsia="de-DE" w:bidi="ar-SA"/>
              </w:rPr>
              <w:t>Mean (±SEM)</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ND</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ND</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ND</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ND</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ND</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ND</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ND</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0.7</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1.26 (0.30)</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ND</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1.9</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2.5</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2.26 (0.27)</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1.4</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1.8</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2.8</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2.12 (0.19)</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1.6</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1.9</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1.94 (0.09)</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1.7</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 xml:space="preserve">1.7 </w:t>
            </w:r>
            <w:r w:rsidRPr="00C46C9B">
              <w:rPr>
                <w:rFonts w:cs="Arial"/>
                <w:sz w:val="20"/>
                <w:szCs w:val="20"/>
                <w:vertAlign w:val="superscript"/>
                <w:lang w:val="en-US" w:eastAsia="de-DE" w:bidi="ar-SA"/>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2.1</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2.22 (0.26)</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7773EC">
            <w:pPr>
              <w:widowControl/>
              <w:spacing w:before="40" w:after="40"/>
              <w:jc w:val="center"/>
              <w:rPr>
                <w:rFonts w:cs="Arial"/>
                <w:sz w:val="20"/>
                <w:szCs w:val="20"/>
                <w:lang w:val="en-US" w:eastAsia="de-DE" w:bidi="ar-SA"/>
              </w:rPr>
            </w:pPr>
            <w:r w:rsidRPr="00C46C9B">
              <w:rPr>
                <w:rFonts w:cs="Arial"/>
                <w:sz w:val="20"/>
                <w:szCs w:val="20"/>
                <w:vertAlign w:val="superscript"/>
                <w:lang w:val="en-US" w:eastAsia="de-DE" w:bidi="ar-SA"/>
              </w:rPr>
              <w:t>‡</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1.8</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1.84 (0.21)</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2.0</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1.3</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1.4</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2.1</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1.56 (0.14)</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1.7</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1.1</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1.52 (0.15)</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1.9</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3.0</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2.10 (0.43)</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1.5</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0.9</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5.3</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1.7</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2.96 (0.78)</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1.9</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1.7</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4.4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3.3</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3.72 (0.60)</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2.6</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3.0</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4.6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3.3</w:t>
            </w:r>
          </w:p>
        </w:tc>
        <w:tc>
          <w:tcPr>
            <w:tcW w:w="1763" w:type="dxa"/>
            <w:tcBorders>
              <w:top w:val="single" w:sz="4" w:space="0" w:color="auto"/>
              <w:left w:val="single" w:sz="4" w:space="0" w:color="auto"/>
              <w:bottom w:val="single" w:sz="4" w:space="0" w:color="auto"/>
              <w:right w:val="single" w:sz="4" w:space="0" w:color="auto"/>
            </w:tcBorders>
            <w:shd w:val="clear" w:color="auto" w:fill="auto"/>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3.62 (0.27)</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color w:val="000000"/>
                <w:sz w:val="20"/>
                <w:szCs w:val="20"/>
                <w:lang w:val="en-US" w:bidi="ar-SA"/>
              </w:rPr>
              <w:t>2.7</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2.8</w:t>
            </w:r>
          </w:p>
        </w:tc>
        <w:tc>
          <w:tcPr>
            <w:tcW w:w="10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2.9</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2.7</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2.88 (0.23)</w:t>
            </w:r>
          </w:p>
        </w:tc>
      </w:tr>
      <w:tr w:rsidR="002D7A25" w:rsidRPr="002D7A25" w:rsidTr="00C46C9B">
        <w:trPr>
          <w:trHeight w:val="300"/>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36</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NA</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2.0</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1.7</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0.9</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1.52 (0.18)</w:t>
            </w:r>
          </w:p>
        </w:tc>
      </w:tr>
      <w:tr w:rsidR="002D7A25" w:rsidRPr="002D7A25" w:rsidTr="00C46C9B">
        <w:trPr>
          <w:trHeight w:val="315"/>
        </w:trPr>
        <w:tc>
          <w:tcPr>
            <w:tcW w:w="1526"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48</w:t>
            </w:r>
          </w:p>
        </w:tc>
        <w:tc>
          <w:tcPr>
            <w:tcW w:w="992" w:type="dxa"/>
            <w:tcBorders>
              <w:top w:val="single" w:sz="4" w:space="0" w:color="auto"/>
              <w:left w:val="single" w:sz="4" w:space="0" w:color="auto"/>
              <w:bottom w:val="single" w:sz="4" w:space="0" w:color="auto"/>
              <w:right w:val="single" w:sz="4" w:space="0" w:color="auto"/>
            </w:tcBorders>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NA</w:t>
            </w:r>
          </w:p>
        </w:tc>
        <w:tc>
          <w:tcPr>
            <w:tcW w:w="947"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0.7</w:t>
            </w:r>
          </w:p>
        </w:tc>
        <w:tc>
          <w:tcPr>
            <w:tcW w:w="1038"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0.6</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0.5</w:t>
            </w:r>
          </w:p>
        </w:tc>
        <w:tc>
          <w:tcPr>
            <w:tcW w:w="992" w:type="dxa"/>
            <w:tcBorders>
              <w:top w:val="single" w:sz="4" w:space="0" w:color="auto"/>
              <w:left w:val="single" w:sz="4" w:space="0" w:color="auto"/>
              <w:bottom w:val="single" w:sz="4" w:space="0" w:color="auto"/>
              <w:right w:val="single" w:sz="4" w:space="0" w:color="auto"/>
            </w:tcBorders>
            <w:noWrap/>
            <w:vAlign w:val="center"/>
            <w:hideMark/>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0.4</w:t>
            </w:r>
          </w:p>
        </w:tc>
        <w:tc>
          <w:tcPr>
            <w:tcW w:w="1763" w:type="dxa"/>
            <w:tcBorders>
              <w:top w:val="single" w:sz="4" w:space="0" w:color="auto"/>
              <w:left w:val="single" w:sz="4" w:space="0" w:color="auto"/>
              <w:bottom w:val="single" w:sz="4" w:space="0" w:color="auto"/>
              <w:right w:val="single" w:sz="4" w:space="0" w:color="auto"/>
            </w:tcBorders>
            <w:vAlign w:val="center"/>
          </w:tcPr>
          <w:p w:rsidR="002D7A25" w:rsidRPr="00C46C9B" w:rsidRDefault="002D7A25">
            <w:pPr>
              <w:widowControl/>
              <w:spacing w:before="40" w:after="40"/>
              <w:jc w:val="center"/>
              <w:rPr>
                <w:rFonts w:cs="Arial"/>
                <w:sz w:val="20"/>
                <w:szCs w:val="20"/>
                <w:lang w:val="en-US" w:eastAsia="de-DE" w:bidi="ar-SA"/>
              </w:rPr>
            </w:pPr>
            <w:r w:rsidRPr="00C46C9B">
              <w:rPr>
                <w:rFonts w:cs="Arial"/>
                <w:sz w:val="20"/>
                <w:szCs w:val="20"/>
                <w:lang w:val="en-US" w:eastAsia="de-DE" w:bidi="ar-SA"/>
              </w:rPr>
              <w:t>0.54 (0.05)</w:t>
            </w:r>
          </w:p>
        </w:tc>
      </w:tr>
    </w:tbl>
    <w:p w:rsidR="003B2650" w:rsidRPr="00C46C9B" w:rsidRDefault="003B2650" w:rsidP="00C46C9B">
      <w:pPr>
        <w:widowControl/>
        <w:spacing w:line="288" w:lineRule="auto"/>
        <w:ind w:left="851" w:hanging="131"/>
        <w:rPr>
          <w:rFonts w:cs="Arial"/>
          <w:sz w:val="4"/>
          <w:szCs w:val="4"/>
          <w:vertAlign w:val="superscript"/>
          <w:lang w:val="en-US" w:eastAsia="de-DE" w:bidi="ar-SA"/>
        </w:rPr>
      </w:pPr>
    </w:p>
    <w:p w:rsidR="002D7A25" w:rsidRPr="00C46C9B" w:rsidRDefault="002D7A25" w:rsidP="00C46C9B">
      <w:pPr>
        <w:widowControl/>
        <w:spacing w:line="288" w:lineRule="auto"/>
        <w:ind w:left="851" w:hanging="131"/>
        <w:rPr>
          <w:rFonts w:cs="Arial"/>
          <w:sz w:val="18"/>
          <w:szCs w:val="18"/>
          <w:lang w:val="en-US" w:eastAsia="de-DE" w:bidi="ar-SA"/>
        </w:rPr>
      </w:pPr>
      <w:r w:rsidRPr="00C46C9B">
        <w:rPr>
          <w:rFonts w:cs="Arial"/>
          <w:sz w:val="18"/>
          <w:szCs w:val="18"/>
          <w:vertAlign w:val="superscript"/>
          <w:lang w:val="en-US" w:eastAsia="de-DE" w:bidi="ar-SA"/>
        </w:rPr>
        <w:t>†</w:t>
      </w:r>
      <w:r w:rsidRPr="00C46C9B">
        <w:rPr>
          <w:rFonts w:cs="Arial"/>
          <w:sz w:val="18"/>
          <w:szCs w:val="18"/>
          <w:vertAlign w:val="subscript"/>
          <w:lang w:val="en-US" w:eastAsia="de-DE" w:bidi="ar-SA"/>
        </w:rPr>
        <w:tab/>
      </w:r>
      <w:r w:rsidRPr="00C46C9B">
        <w:rPr>
          <w:rFonts w:cs="Arial"/>
          <w:sz w:val="18"/>
          <w:szCs w:val="18"/>
          <w:lang w:val="en-US" w:eastAsia="de-DE" w:bidi="ar-SA"/>
        </w:rPr>
        <w:t>Not included in calculation of the mean.</w:t>
      </w:r>
    </w:p>
    <w:p w:rsidR="002D7A25" w:rsidRPr="00C46C9B" w:rsidRDefault="002D7A25" w:rsidP="00C46C9B">
      <w:pPr>
        <w:widowControl/>
        <w:spacing w:line="288" w:lineRule="auto"/>
        <w:ind w:left="851" w:hanging="131"/>
        <w:rPr>
          <w:rFonts w:cs="Arial"/>
          <w:sz w:val="18"/>
          <w:szCs w:val="18"/>
          <w:lang w:val="en-US" w:eastAsia="de-DE" w:bidi="ar-SA"/>
        </w:rPr>
      </w:pPr>
      <w:r w:rsidRPr="00C46C9B">
        <w:rPr>
          <w:rFonts w:cs="Arial"/>
          <w:sz w:val="18"/>
          <w:szCs w:val="18"/>
          <w:lang w:val="en-US" w:eastAsia="de-DE" w:bidi="ar-SA"/>
        </w:rPr>
        <w:t>^ Actual time of collection for this sample was 103 min post-dose. All oth</w:t>
      </w:r>
      <w:r w:rsidR="001E0AA2">
        <w:rPr>
          <w:rFonts w:cs="Arial"/>
          <w:sz w:val="18"/>
          <w:szCs w:val="18"/>
          <w:lang w:val="en-US" w:eastAsia="de-DE" w:bidi="ar-SA"/>
        </w:rPr>
        <w:t>er sampling times were within 1 </w:t>
      </w:r>
      <w:r w:rsidRPr="00C46C9B">
        <w:rPr>
          <w:rFonts w:cs="Arial"/>
          <w:sz w:val="18"/>
          <w:szCs w:val="18"/>
          <w:lang w:val="en-US" w:eastAsia="de-DE" w:bidi="ar-SA"/>
        </w:rPr>
        <w:t xml:space="preserve">min of the scheduled time. </w:t>
      </w:r>
    </w:p>
    <w:p w:rsidR="002D7A25" w:rsidRPr="00C46C9B" w:rsidRDefault="002D7A25" w:rsidP="00C46C9B">
      <w:pPr>
        <w:widowControl/>
        <w:spacing w:line="288" w:lineRule="auto"/>
        <w:ind w:firstLine="720"/>
        <w:rPr>
          <w:rFonts w:cs="Arial"/>
          <w:sz w:val="18"/>
          <w:szCs w:val="18"/>
          <w:lang w:val="en-US" w:eastAsia="de-DE" w:bidi="ar-SA"/>
        </w:rPr>
      </w:pPr>
      <w:r w:rsidRPr="00C46C9B">
        <w:rPr>
          <w:rFonts w:cs="Arial"/>
          <w:vanish/>
          <w:sz w:val="18"/>
          <w:szCs w:val="18"/>
          <w:lang w:val="en-US" w:eastAsia="de-DE" w:bidi="ar-SA"/>
        </w:rPr>
        <w:tab/>
        <w:t>D Not Detected NA Not Applicable (blood samples not collected)ng/mL.</w:t>
      </w:r>
      <w:r w:rsidRPr="00C46C9B">
        <w:rPr>
          <w:rFonts w:cs="Arial"/>
          <w:sz w:val="18"/>
          <w:szCs w:val="18"/>
          <w:lang w:val="en-US" w:eastAsia="de-DE" w:bidi="ar-SA"/>
        </w:rPr>
        <w:t>ND Not Detected</w:t>
      </w:r>
      <w:r w:rsidRPr="00C46C9B">
        <w:rPr>
          <w:rFonts w:cs="Arial"/>
          <w:sz w:val="18"/>
          <w:szCs w:val="18"/>
          <w:lang w:val="en-US" w:eastAsia="de-DE" w:bidi="ar-SA"/>
        </w:rPr>
        <w:tab/>
      </w:r>
    </w:p>
    <w:p w:rsidR="002D7A25" w:rsidRPr="00C46C9B" w:rsidRDefault="007773EC" w:rsidP="00C46C9B">
      <w:pPr>
        <w:widowControl/>
        <w:spacing w:line="288" w:lineRule="auto"/>
        <w:ind w:firstLine="720"/>
        <w:rPr>
          <w:rFonts w:cs="Arial"/>
          <w:sz w:val="18"/>
          <w:szCs w:val="18"/>
          <w:lang w:val="en-US" w:eastAsia="de-DE" w:bidi="ar-SA"/>
        </w:rPr>
      </w:pPr>
      <w:r w:rsidRPr="00C46C9B">
        <w:rPr>
          <w:rFonts w:cs="Arial"/>
          <w:sz w:val="18"/>
          <w:szCs w:val="18"/>
          <w:vertAlign w:val="superscript"/>
          <w:lang w:val="en-US" w:eastAsia="de-DE" w:bidi="ar-SA"/>
        </w:rPr>
        <w:t>‡</w:t>
      </w:r>
      <w:r w:rsidRPr="00C46C9B">
        <w:rPr>
          <w:rFonts w:cs="Arial"/>
          <w:sz w:val="18"/>
          <w:szCs w:val="18"/>
          <w:lang w:val="en-US" w:eastAsia="de-DE" w:bidi="ar-SA"/>
        </w:rPr>
        <w:t xml:space="preserve"> </w:t>
      </w:r>
      <w:r w:rsidR="002D7A25" w:rsidRPr="00C46C9B">
        <w:rPr>
          <w:rFonts w:cs="Arial"/>
          <w:sz w:val="18"/>
          <w:szCs w:val="18"/>
          <w:lang w:val="en-US" w:eastAsia="de-DE" w:bidi="ar-SA"/>
        </w:rPr>
        <w:t>Probable outlier (concentration reported as17.9 ng/m</w:t>
      </w:r>
      <w:r w:rsidRPr="00C46C9B">
        <w:rPr>
          <w:rFonts w:cs="Arial"/>
          <w:sz w:val="18"/>
          <w:szCs w:val="18"/>
          <w:lang w:val="en-US" w:eastAsia="de-DE" w:bidi="ar-SA"/>
        </w:rPr>
        <w:t>L</w:t>
      </w:r>
      <w:r w:rsidR="002D7A25" w:rsidRPr="00C46C9B">
        <w:rPr>
          <w:rFonts w:cs="Arial"/>
          <w:sz w:val="18"/>
          <w:szCs w:val="18"/>
          <w:lang w:val="en-US" w:eastAsia="de-DE" w:bidi="ar-SA"/>
        </w:rPr>
        <w:t xml:space="preserve">). Data point not used in calculations.     </w:t>
      </w:r>
    </w:p>
    <w:p w:rsidR="002D7A25" w:rsidRPr="002D7A25" w:rsidRDefault="002D7A25" w:rsidP="00C46C9B">
      <w:pPr>
        <w:widowControl/>
        <w:spacing w:line="288" w:lineRule="auto"/>
        <w:ind w:firstLine="720"/>
        <w:rPr>
          <w:rFonts w:eastAsia="PMingLiU" w:cs="Arial"/>
          <w:szCs w:val="22"/>
          <w:lang w:val="en-US" w:bidi="ar-SA"/>
        </w:rPr>
      </w:pPr>
      <w:r w:rsidRPr="00C46C9B">
        <w:rPr>
          <w:rFonts w:cs="Arial"/>
          <w:sz w:val="18"/>
          <w:szCs w:val="18"/>
          <w:lang w:val="en-US" w:eastAsia="de-DE" w:bidi="ar-SA"/>
        </w:rPr>
        <w:t>NA Not Applicable (36 h and 48 h blood samples were not collected for subject 1, the sentinel subject)</w:t>
      </w:r>
    </w:p>
    <w:p w:rsidR="002D7A25" w:rsidRDefault="002D7A25">
      <w:pPr>
        <w:widowControl/>
        <w:rPr>
          <w:rFonts w:cs="Arial"/>
        </w:rPr>
      </w:pPr>
    </w:p>
    <w:p w:rsidR="00D04394" w:rsidRDefault="00D04394">
      <w:pPr>
        <w:widowControl/>
        <w:rPr>
          <w:rFonts w:cs="Arial"/>
        </w:rPr>
      </w:pPr>
    </w:p>
    <w:p w:rsidR="003B2650" w:rsidRDefault="003B2650">
      <w:pPr>
        <w:widowControl/>
        <w:rPr>
          <w:rFonts w:cs="Arial"/>
          <w:b/>
        </w:rPr>
      </w:pPr>
      <w:r>
        <w:rPr>
          <w:rFonts w:cs="Arial"/>
          <w:lang w:val="en-US"/>
        </w:rPr>
        <w:t xml:space="preserve">The </w:t>
      </w:r>
      <w:r w:rsidRPr="006529F5">
        <w:rPr>
          <w:rFonts w:cs="Arial"/>
          <w:lang w:val="en-US"/>
        </w:rPr>
        <w:t xml:space="preserve">concentration-time profiles for each of the subjects </w:t>
      </w:r>
      <w:r>
        <w:rPr>
          <w:rFonts w:cs="Arial"/>
          <w:lang w:val="en-US"/>
        </w:rPr>
        <w:t>2 to 6 indicated two major peaks, with the second, much broader, peak corresponding to the maximum serum concentration (C</w:t>
      </w:r>
      <w:r w:rsidRPr="005320E1">
        <w:rPr>
          <w:rFonts w:cs="Arial"/>
          <w:vertAlign w:val="subscript"/>
          <w:lang w:val="en-US"/>
        </w:rPr>
        <w:t>max</w:t>
      </w:r>
      <w:r>
        <w:rPr>
          <w:rFonts w:cs="Arial"/>
          <w:lang w:val="en-US"/>
        </w:rPr>
        <w:t xml:space="preserve">) determined for each subject </w:t>
      </w:r>
      <w:r w:rsidRPr="006529F5">
        <w:rPr>
          <w:rFonts w:cs="Arial"/>
          <w:lang w:val="en-US"/>
        </w:rPr>
        <w:t>(</w:t>
      </w:r>
      <w:r w:rsidRPr="005320E1">
        <w:rPr>
          <w:rFonts w:cs="Arial"/>
          <w:lang w:val="en-US"/>
        </w:rPr>
        <w:t xml:space="preserve">Figure </w:t>
      </w:r>
      <w:r w:rsidRPr="00CB2985">
        <w:rPr>
          <w:rFonts w:cs="Arial"/>
          <w:lang w:val="en-US"/>
        </w:rPr>
        <w:t>1</w:t>
      </w:r>
      <w:r w:rsidRPr="006529F5">
        <w:rPr>
          <w:rFonts w:cs="Arial"/>
          <w:lang w:val="en-US"/>
        </w:rPr>
        <w:t>).</w:t>
      </w:r>
      <w:r>
        <w:rPr>
          <w:rFonts w:cs="Arial"/>
          <w:lang w:val="en-US"/>
        </w:rPr>
        <w:t xml:space="preserve"> </w:t>
      </w:r>
      <w:r>
        <w:rPr>
          <w:rFonts w:cs="Arial"/>
          <w:b/>
        </w:rPr>
        <w:br w:type="page"/>
      </w:r>
    </w:p>
    <w:p w:rsidR="003B3A76" w:rsidRPr="00BD21BD" w:rsidRDefault="003B3A76" w:rsidP="003B3A76">
      <w:pPr>
        <w:widowControl/>
        <w:rPr>
          <w:rFonts w:cs="Arial"/>
          <w:i/>
        </w:rPr>
      </w:pPr>
      <w:r w:rsidRPr="00BD21BD">
        <w:rPr>
          <w:rFonts w:cs="Arial"/>
          <w:i/>
        </w:rPr>
        <w:lastRenderedPageBreak/>
        <w:t xml:space="preserve">Figure </w:t>
      </w:r>
      <w:r w:rsidR="0023384F" w:rsidRPr="00BD21BD">
        <w:rPr>
          <w:rFonts w:cs="Arial"/>
          <w:i/>
        </w:rPr>
        <w:t>1</w:t>
      </w:r>
      <w:r w:rsidR="00B739BC" w:rsidRPr="00BD21BD">
        <w:rPr>
          <w:rFonts w:cs="Arial"/>
          <w:i/>
        </w:rPr>
        <w:t>:</w:t>
      </w:r>
      <w:r w:rsidRPr="00BD21BD">
        <w:rPr>
          <w:rFonts w:cs="Arial"/>
          <w:i/>
        </w:rPr>
        <w:t xml:space="preserve"> Plot of serum tutin concentration versus time post-dose for subjects 2 to 6</w:t>
      </w:r>
    </w:p>
    <w:p w:rsidR="003B3A76" w:rsidRDefault="003B3A76">
      <w:pPr>
        <w:widowControl/>
        <w:rPr>
          <w:rFonts w:cs="Arial"/>
        </w:rPr>
      </w:pPr>
      <w:r w:rsidRPr="00C46C9B">
        <w:rPr>
          <w:rFonts w:eastAsia="Calibri"/>
          <w:noProof/>
          <w:szCs w:val="22"/>
          <w:lang w:eastAsia="en-GB" w:bidi="ar-SA"/>
        </w:rPr>
        <w:drawing>
          <wp:inline distT="0" distB="0" distL="0" distR="0" wp14:anchorId="1DD2BE29" wp14:editId="38D5E531">
            <wp:extent cx="5731510" cy="3848042"/>
            <wp:effectExtent l="0" t="0" r="0" b="0"/>
            <wp:docPr id="10" name="Picture 10" descr="G:\new1\Data 1 [Data Set-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new1\Data 1 [Data Set-A].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848042"/>
                    </a:xfrm>
                    <a:prstGeom prst="rect">
                      <a:avLst/>
                    </a:prstGeom>
                    <a:noFill/>
                    <a:ln>
                      <a:noFill/>
                    </a:ln>
                  </pic:spPr>
                </pic:pic>
              </a:graphicData>
            </a:graphic>
          </wp:inline>
        </w:drawing>
      </w:r>
    </w:p>
    <w:p w:rsidR="003B3A76" w:rsidRDefault="003B3A76">
      <w:pPr>
        <w:widowControl/>
        <w:rPr>
          <w:rFonts w:cs="Arial"/>
        </w:rPr>
      </w:pPr>
    </w:p>
    <w:p w:rsidR="003B3A76" w:rsidRPr="00BD21BD" w:rsidRDefault="003B3A76" w:rsidP="003B3A76">
      <w:pPr>
        <w:widowControl/>
        <w:rPr>
          <w:rFonts w:cs="Arial"/>
          <w:i/>
        </w:rPr>
      </w:pPr>
      <w:r w:rsidRPr="00BD21BD">
        <w:rPr>
          <w:rFonts w:cs="Arial"/>
          <w:i/>
        </w:rPr>
        <w:t xml:space="preserve">Figure </w:t>
      </w:r>
      <w:r w:rsidR="0023384F" w:rsidRPr="00BD21BD">
        <w:rPr>
          <w:rFonts w:cs="Arial"/>
          <w:i/>
        </w:rPr>
        <w:t>2</w:t>
      </w:r>
      <w:r w:rsidR="00BD21BD">
        <w:rPr>
          <w:rFonts w:cs="Arial"/>
          <w:i/>
        </w:rPr>
        <w:t>:</w:t>
      </w:r>
      <w:r w:rsidRPr="00BD21BD">
        <w:rPr>
          <w:rFonts w:cs="Arial"/>
          <w:i/>
        </w:rPr>
        <w:t xml:space="preserve"> Plot of mean serum tutin concentration (±SEM) versus time </w:t>
      </w:r>
    </w:p>
    <w:p w:rsidR="003B3A76" w:rsidRDefault="003B3A76">
      <w:pPr>
        <w:widowControl/>
        <w:rPr>
          <w:rFonts w:cs="Arial"/>
        </w:rPr>
      </w:pPr>
    </w:p>
    <w:p w:rsidR="003B3A76" w:rsidRDefault="003B3A76">
      <w:pPr>
        <w:widowControl/>
        <w:rPr>
          <w:rFonts w:cs="Arial"/>
        </w:rPr>
      </w:pPr>
      <w:r w:rsidRPr="00C46C9B">
        <w:rPr>
          <w:rFonts w:eastAsia="Calibri"/>
          <w:noProof/>
          <w:szCs w:val="22"/>
          <w:lang w:eastAsia="en-GB" w:bidi="ar-SA"/>
        </w:rPr>
        <w:drawing>
          <wp:inline distT="0" distB="0" distL="0" distR="0" wp14:anchorId="00C6486B" wp14:editId="51D4EC83">
            <wp:extent cx="5731510" cy="4127408"/>
            <wp:effectExtent l="0" t="0" r="0" b="0"/>
            <wp:docPr id="14" name="Picture 14" descr="G:\new1\Dat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new1\Data 1.t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127408"/>
                    </a:xfrm>
                    <a:prstGeom prst="rect">
                      <a:avLst/>
                    </a:prstGeom>
                    <a:noFill/>
                    <a:ln>
                      <a:noFill/>
                    </a:ln>
                  </pic:spPr>
                </pic:pic>
              </a:graphicData>
            </a:graphic>
          </wp:inline>
        </w:drawing>
      </w:r>
    </w:p>
    <w:p w:rsidR="00E8778B" w:rsidRDefault="00E8778B" w:rsidP="006529F5">
      <w:pPr>
        <w:widowControl/>
        <w:rPr>
          <w:rFonts w:cs="Arial"/>
          <w:lang w:val="en-US"/>
        </w:rPr>
      </w:pPr>
    </w:p>
    <w:p w:rsidR="006529F5" w:rsidRPr="006529F5" w:rsidRDefault="003477F7" w:rsidP="006529F5">
      <w:pPr>
        <w:widowControl/>
        <w:rPr>
          <w:rFonts w:cs="Arial"/>
          <w:lang w:val="en-US"/>
        </w:rPr>
      </w:pPr>
      <w:r>
        <w:rPr>
          <w:rFonts w:cs="Arial"/>
          <w:lang w:val="en-US"/>
        </w:rPr>
        <w:lastRenderedPageBreak/>
        <w:t>Two</w:t>
      </w:r>
      <w:r w:rsidR="003B2650">
        <w:rPr>
          <w:rFonts w:cs="Arial"/>
          <w:lang w:val="en-US"/>
        </w:rPr>
        <w:t>-site absorption modelling</w:t>
      </w:r>
      <w:r w:rsidR="006529F5" w:rsidRPr="006529F5">
        <w:rPr>
          <w:rFonts w:cs="Arial"/>
          <w:lang w:val="en-US"/>
        </w:rPr>
        <w:t xml:space="preserve"> of </w:t>
      </w:r>
      <w:r w:rsidR="003B2650">
        <w:rPr>
          <w:rFonts w:cs="Arial"/>
          <w:lang w:val="en-US"/>
        </w:rPr>
        <w:t xml:space="preserve">the </w:t>
      </w:r>
      <w:r w:rsidR="006529F5" w:rsidRPr="006529F5">
        <w:rPr>
          <w:rFonts w:cs="Arial"/>
          <w:lang w:val="en-US"/>
        </w:rPr>
        <w:t xml:space="preserve">mean tutin serum concentration data </w:t>
      </w:r>
      <w:r w:rsidR="003B2650">
        <w:rPr>
          <w:rFonts w:cs="Arial"/>
          <w:lang w:val="en-US"/>
        </w:rPr>
        <w:t xml:space="preserve">resulted in the predicted profile shown in Figure 3 and pharmacokinetic parameters shown in Table 2. </w:t>
      </w:r>
      <w:r w:rsidR="00C6306D">
        <w:rPr>
          <w:rFonts w:cs="Arial"/>
          <w:lang w:val="en-US"/>
        </w:rPr>
        <w:t>As</w:t>
      </w:r>
      <w:r w:rsidR="00C6306D" w:rsidRPr="006529F5">
        <w:rPr>
          <w:rFonts w:cs="Arial"/>
          <w:lang w:val="en-US"/>
        </w:rPr>
        <w:t xml:space="preserve"> the data for subject 1 contained fewer data points and was generated using an assay of lower sensitivity it was decided to exclude them from the </w:t>
      </w:r>
      <w:r w:rsidR="00C6306D">
        <w:rPr>
          <w:rFonts w:cs="Arial"/>
          <w:lang w:val="en-US"/>
        </w:rPr>
        <w:t>pharmacokinetic</w:t>
      </w:r>
      <w:r w:rsidR="00C6306D" w:rsidRPr="006529F5">
        <w:rPr>
          <w:rFonts w:cs="Arial"/>
          <w:lang w:val="en-US"/>
        </w:rPr>
        <w:t xml:space="preserve"> calculation</w:t>
      </w:r>
      <w:r w:rsidR="00C6306D">
        <w:rPr>
          <w:rFonts w:cs="Arial"/>
          <w:lang w:val="en-US"/>
        </w:rPr>
        <w:t>s</w:t>
      </w:r>
      <w:r w:rsidR="00C6306D" w:rsidRPr="006529F5">
        <w:rPr>
          <w:rFonts w:cs="Arial"/>
          <w:lang w:val="en-US"/>
        </w:rPr>
        <w:t xml:space="preserve">. </w:t>
      </w:r>
      <w:r w:rsidR="006529F5" w:rsidRPr="006529F5">
        <w:rPr>
          <w:rFonts w:cs="Arial"/>
          <w:lang w:val="en-US"/>
        </w:rPr>
        <w:t>Following a lag time of 4.8 h, T</w:t>
      </w:r>
      <w:r w:rsidR="006529F5" w:rsidRPr="00C46C9B">
        <w:rPr>
          <w:rFonts w:cs="Arial"/>
          <w:vertAlign w:val="subscript"/>
          <w:lang w:val="en-US"/>
        </w:rPr>
        <w:t>max</w:t>
      </w:r>
      <w:r w:rsidR="006529F5" w:rsidRPr="006529F5">
        <w:rPr>
          <w:rFonts w:cs="Arial"/>
          <w:lang w:val="en-US"/>
        </w:rPr>
        <w:t xml:space="preserve"> for the second peak (T</w:t>
      </w:r>
      <w:r w:rsidR="006529F5" w:rsidRPr="00C46C9B">
        <w:rPr>
          <w:rFonts w:cs="Arial"/>
          <w:vertAlign w:val="subscript"/>
          <w:lang w:val="en-US"/>
        </w:rPr>
        <w:t>max2</w:t>
      </w:r>
      <w:r w:rsidR="006529F5" w:rsidRPr="006529F5">
        <w:rPr>
          <w:rFonts w:cs="Arial"/>
          <w:lang w:val="en-US"/>
        </w:rPr>
        <w:t>) occurred approximately 14</w:t>
      </w:r>
      <w:r w:rsidR="002177E4">
        <w:rPr>
          <w:rFonts w:cs="Arial"/>
          <w:lang w:val="en-US"/>
        </w:rPr>
        <w:t> </w:t>
      </w:r>
      <w:r w:rsidR="006529F5" w:rsidRPr="006529F5">
        <w:rPr>
          <w:rFonts w:cs="Arial"/>
          <w:lang w:val="en-US"/>
        </w:rPr>
        <w:t>hours after T</w:t>
      </w:r>
      <w:r w:rsidR="006529F5" w:rsidRPr="00C46C9B">
        <w:rPr>
          <w:rFonts w:cs="Arial"/>
          <w:vertAlign w:val="subscript"/>
          <w:lang w:val="en-US"/>
        </w:rPr>
        <w:t>max</w:t>
      </w:r>
      <w:r w:rsidR="006529F5" w:rsidRPr="006529F5">
        <w:rPr>
          <w:rFonts w:cs="Arial"/>
          <w:lang w:val="en-US"/>
        </w:rPr>
        <w:t xml:space="preserve"> for the first peak (T</w:t>
      </w:r>
      <w:r w:rsidR="006529F5" w:rsidRPr="00C46C9B">
        <w:rPr>
          <w:rFonts w:cs="Arial"/>
          <w:vertAlign w:val="subscript"/>
          <w:lang w:val="en-US"/>
        </w:rPr>
        <w:t>max1</w:t>
      </w:r>
      <w:r w:rsidR="006529F5" w:rsidRPr="006529F5">
        <w:rPr>
          <w:rFonts w:cs="Arial"/>
          <w:lang w:val="en-US"/>
        </w:rPr>
        <w:t xml:space="preserve">=0.9 h). The goodness-of-fit of the </w:t>
      </w:r>
      <w:r>
        <w:rPr>
          <w:rFonts w:cs="Arial"/>
          <w:lang w:val="en-US"/>
        </w:rPr>
        <w:t>two</w:t>
      </w:r>
      <w:r w:rsidR="006529F5" w:rsidRPr="006529F5">
        <w:rPr>
          <w:rFonts w:cs="Arial"/>
          <w:lang w:val="en-US"/>
        </w:rPr>
        <w:t>-site absorption model (Figure 3) as visually judged by the concordance of the observed and predicted values is good and the model has a correlation coefficient (r</w:t>
      </w:r>
      <w:r w:rsidR="006529F5" w:rsidRPr="006529F5">
        <w:rPr>
          <w:rFonts w:cs="Arial"/>
          <w:vertAlign w:val="superscript"/>
          <w:lang w:val="en-US"/>
        </w:rPr>
        <w:t>2</w:t>
      </w:r>
      <w:r w:rsidR="006529F5" w:rsidRPr="006529F5">
        <w:rPr>
          <w:rFonts w:cs="Arial"/>
          <w:lang w:val="en-US"/>
        </w:rPr>
        <w:t>) of 0.997. The calculated fraction of tutin that experiences delayed absorption (f</w:t>
      </w:r>
      <w:r w:rsidR="006529F5" w:rsidRPr="006529F5">
        <w:rPr>
          <w:rFonts w:ascii="Cambria Math" w:hAnsi="Cambria Math" w:cs="Cambria Math"/>
          <w:lang w:val="en-US"/>
        </w:rPr>
        <w:t>∼</w:t>
      </w:r>
      <w:r w:rsidR="006529F5" w:rsidRPr="006529F5">
        <w:rPr>
          <w:rFonts w:cs="Arial"/>
          <w:lang w:val="en-US"/>
        </w:rPr>
        <w:t xml:space="preserve"> 84%) estimated by the proposed model is consistent with the observation that the area under the second peak is much larger relative to the first peak</w:t>
      </w:r>
      <w:r w:rsidR="00E70420">
        <w:rPr>
          <w:rFonts w:cs="Arial"/>
          <w:lang w:val="en-US"/>
        </w:rPr>
        <w:t xml:space="preserve"> (~15 fold)</w:t>
      </w:r>
      <w:r w:rsidR="006529F5" w:rsidRPr="006529F5">
        <w:rPr>
          <w:rFonts w:cs="Arial"/>
          <w:lang w:val="en-US"/>
        </w:rPr>
        <w:t xml:space="preserve">. </w:t>
      </w:r>
    </w:p>
    <w:p w:rsidR="003764C4" w:rsidRDefault="003764C4" w:rsidP="00550D1E">
      <w:pPr>
        <w:autoSpaceDE w:val="0"/>
        <w:autoSpaceDN w:val="0"/>
        <w:adjustRightInd w:val="0"/>
        <w:rPr>
          <w:rFonts w:cs="Arial"/>
          <w:highlight w:val="yellow"/>
          <w:lang w:bidi="ar-SA"/>
        </w:rPr>
      </w:pPr>
    </w:p>
    <w:p w:rsidR="0023384F" w:rsidRPr="00BD21BD" w:rsidRDefault="0023384F" w:rsidP="0023384F">
      <w:pPr>
        <w:widowControl/>
        <w:rPr>
          <w:rFonts w:cs="Arial"/>
          <w:i/>
        </w:rPr>
      </w:pPr>
      <w:r w:rsidRPr="00BD21BD">
        <w:rPr>
          <w:rFonts w:cs="Arial"/>
          <w:i/>
        </w:rPr>
        <w:t>Figure 3</w:t>
      </w:r>
      <w:r w:rsidR="00B739BC" w:rsidRPr="00BD21BD">
        <w:rPr>
          <w:rFonts w:cs="Arial"/>
          <w:i/>
        </w:rPr>
        <w:t>:</w:t>
      </w:r>
      <w:r w:rsidRPr="00BD21BD">
        <w:rPr>
          <w:rFonts w:cs="Arial"/>
          <w:i/>
        </w:rPr>
        <w:t xml:space="preserve"> Measured mean (open circles) and predicted (solid lines) serum tutin concentration-time profile after a single oral dose of 1.8 µg/kg bw.</w:t>
      </w:r>
    </w:p>
    <w:p w:rsidR="0023384F" w:rsidRDefault="0023384F" w:rsidP="0023384F">
      <w:pPr>
        <w:widowControl/>
        <w:rPr>
          <w:rFonts w:cs="Arial"/>
        </w:rPr>
      </w:pPr>
      <w:r w:rsidRPr="00C46C9B">
        <w:rPr>
          <w:rFonts w:cs="Arial"/>
          <w:noProof/>
          <w:lang w:eastAsia="en-GB" w:bidi="ar-SA"/>
        </w:rPr>
        <w:drawing>
          <wp:inline distT="0" distB="0" distL="0" distR="0" wp14:anchorId="70824DE8" wp14:editId="51F3AD4C">
            <wp:extent cx="5944235" cy="3401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3401695"/>
                    </a:xfrm>
                    <a:prstGeom prst="rect">
                      <a:avLst/>
                    </a:prstGeom>
                    <a:noFill/>
                  </pic:spPr>
                </pic:pic>
              </a:graphicData>
            </a:graphic>
          </wp:inline>
        </w:drawing>
      </w:r>
    </w:p>
    <w:p w:rsidR="000A76CF" w:rsidRDefault="000A76CF" w:rsidP="000A76CF">
      <w:r w:rsidRPr="0049663E">
        <w:t xml:space="preserve">It was speculated that peak 1 was due to rapid systemic absorption of tutin </w:t>
      </w:r>
      <w:r w:rsidR="007B00C0">
        <w:t xml:space="preserve">present in honey </w:t>
      </w:r>
      <w:r w:rsidRPr="0049663E">
        <w:t>while peak 2 was due to tutin released in a delayed and sustained manner from a hitherto unidentified source of additional tutin, such as conjugates of tutin. Subsequent chemical analysis revealed the presence of substantial amounts of various tutin glycosides in the administered honey sample</w:t>
      </w:r>
      <w:r>
        <w:t xml:space="preserve"> (</w:t>
      </w:r>
      <w:r w:rsidRPr="00CB2985">
        <w:t xml:space="preserve">Appendix </w:t>
      </w:r>
      <w:r w:rsidRPr="00847EF8">
        <w:t>2</w:t>
      </w:r>
      <w:r>
        <w:t>)</w:t>
      </w:r>
      <w:r w:rsidRPr="0049663E">
        <w:t xml:space="preserve">. </w:t>
      </w:r>
    </w:p>
    <w:p w:rsidR="000A76CF" w:rsidRDefault="000A76CF" w:rsidP="000A76CF"/>
    <w:p w:rsidR="000A76CF" w:rsidRDefault="000A76CF" w:rsidP="000A76CF">
      <w:pPr>
        <w:autoSpaceDE w:val="0"/>
        <w:autoSpaceDN w:val="0"/>
        <w:adjustRightInd w:val="0"/>
        <w:rPr>
          <w:rFonts w:cs="Arial"/>
          <w:highlight w:val="yellow"/>
          <w:lang w:bidi="ar-SA"/>
        </w:rPr>
      </w:pPr>
      <w:r w:rsidRPr="0049663E">
        <w:t>Further analysis of the pharmacokinetic honey sample and 14 other honey samples indicated that (i) four tutin glycosides accounted for the majority of tutin glycosides present in honey, (ii) the ratio of the sum of these four tutin glycosides to tutin</w:t>
      </w:r>
      <w:r w:rsidR="00527E55">
        <w:t xml:space="preserve"> aglycone</w:t>
      </w:r>
      <w:r w:rsidRPr="0049663E">
        <w:t xml:space="preserve"> (tutin</w:t>
      </w:r>
      <w:r w:rsidRPr="0049663E">
        <w:rPr>
          <w:sz w:val="4"/>
          <w:szCs w:val="4"/>
          <w:vertAlign w:val="subscript"/>
        </w:rPr>
        <w:t xml:space="preserve"> </w:t>
      </w:r>
      <w:r w:rsidRPr="0049663E">
        <w:rPr>
          <w:vertAlign w:val="subscript"/>
        </w:rPr>
        <w:t>glyc</w:t>
      </w:r>
      <w:r w:rsidRPr="0049663E">
        <w:rPr>
          <w:sz w:val="4"/>
          <w:szCs w:val="4"/>
          <w:vertAlign w:val="subscript"/>
        </w:rPr>
        <w:t xml:space="preserve"> </w:t>
      </w:r>
      <w:r w:rsidRPr="0049663E">
        <w:t>:</w:t>
      </w:r>
      <w:r w:rsidRPr="0049663E">
        <w:rPr>
          <w:sz w:val="4"/>
          <w:szCs w:val="4"/>
          <w:vertAlign w:val="subscript"/>
        </w:rPr>
        <w:t xml:space="preserve"> </w:t>
      </w:r>
      <w:r w:rsidRPr="0049663E">
        <w:t>tutin</w:t>
      </w:r>
      <w:r w:rsidR="007B00C0">
        <w:rPr>
          <w:sz w:val="4"/>
          <w:szCs w:val="4"/>
          <w:vertAlign w:val="subscript"/>
        </w:rPr>
        <w:t> </w:t>
      </w:r>
      <w:r w:rsidR="00527E55">
        <w:rPr>
          <w:vertAlign w:val="subscript"/>
        </w:rPr>
        <w:t>aglyc</w:t>
      </w:r>
      <w:r w:rsidRPr="0049663E">
        <w:t xml:space="preserve">) varied over an approximately 5-fold range, (iii) the ratio showed no apparent association with the tutin </w:t>
      </w:r>
      <w:r w:rsidR="00527E55">
        <w:t xml:space="preserve">aglycone </w:t>
      </w:r>
      <w:r w:rsidRPr="0049663E">
        <w:t>level, (iv) the highest tutin</w:t>
      </w:r>
      <w:r w:rsidRPr="0049663E">
        <w:rPr>
          <w:sz w:val="4"/>
          <w:szCs w:val="4"/>
          <w:vertAlign w:val="subscript"/>
        </w:rPr>
        <w:t xml:space="preserve"> </w:t>
      </w:r>
      <w:r w:rsidRPr="0049663E">
        <w:rPr>
          <w:vertAlign w:val="subscript"/>
        </w:rPr>
        <w:t>glyc</w:t>
      </w:r>
      <w:r w:rsidRPr="0049663E">
        <w:rPr>
          <w:sz w:val="4"/>
          <w:szCs w:val="4"/>
          <w:vertAlign w:val="subscript"/>
        </w:rPr>
        <w:t xml:space="preserve"> </w:t>
      </w:r>
      <w:r w:rsidRPr="0049663E">
        <w:t>:</w:t>
      </w:r>
      <w:r w:rsidRPr="0049663E">
        <w:rPr>
          <w:sz w:val="4"/>
          <w:szCs w:val="4"/>
          <w:vertAlign w:val="subscript"/>
        </w:rPr>
        <w:t xml:space="preserve"> </w:t>
      </w:r>
      <w:r w:rsidRPr="0049663E">
        <w:t>tutin</w:t>
      </w:r>
      <w:r w:rsidRPr="0049663E">
        <w:rPr>
          <w:sz w:val="4"/>
          <w:szCs w:val="4"/>
          <w:vertAlign w:val="subscript"/>
        </w:rPr>
        <w:t xml:space="preserve"> </w:t>
      </w:r>
      <w:r w:rsidR="00527E55">
        <w:rPr>
          <w:vertAlign w:val="subscript"/>
        </w:rPr>
        <w:t>aglyc</w:t>
      </w:r>
      <w:r w:rsidRPr="0049663E">
        <w:t xml:space="preserve"> ratio was for a honey sample associated with poisoning in 2008, (v) this ratio was 1.7-times greater than the ratio for the pharmacokinetic honey sample, and (vi) honey samples that contained no detectable tutin </w:t>
      </w:r>
      <w:r w:rsidR="00527E55">
        <w:t xml:space="preserve">aglycone </w:t>
      </w:r>
      <w:r w:rsidRPr="0049663E">
        <w:t>also contained no detectable tutin gly</w:t>
      </w:r>
      <w:r>
        <w:t>cosides (</w:t>
      </w:r>
      <w:r w:rsidRPr="00CB2985">
        <w:t xml:space="preserve">Appendix </w:t>
      </w:r>
      <w:r w:rsidR="00FF0A9B">
        <w:t>4</w:t>
      </w:r>
      <w:r>
        <w:t>).</w:t>
      </w:r>
    </w:p>
    <w:p w:rsidR="000A76CF" w:rsidRPr="0049663E" w:rsidRDefault="000A76CF" w:rsidP="000A76CF"/>
    <w:p w:rsidR="00441601" w:rsidRDefault="00441601" w:rsidP="00201AED"/>
    <w:p w:rsidR="000A76CF" w:rsidRDefault="000A76CF">
      <w:pPr>
        <w:widowControl/>
        <w:rPr>
          <w:rFonts w:cs="Arial"/>
          <w:b/>
          <w:szCs w:val="22"/>
          <w:lang w:val="en-US" w:eastAsia="de-DE" w:bidi="ar-SA"/>
        </w:rPr>
      </w:pPr>
      <w:r>
        <w:rPr>
          <w:rFonts w:cs="Arial"/>
          <w:b/>
          <w:szCs w:val="22"/>
          <w:lang w:val="en-US" w:eastAsia="de-DE" w:bidi="ar-SA"/>
        </w:rPr>
        <w:br w:type="page"/>
      </w:r>
    </w:p>
    <w:p w:rsidR="00441601" w:rsidRPr="002D7A25" w:rsidRDefault="00441601" w:rsidP="00441601">
      <w:pPr>
        <w:widowControl/>
        <w:spacing w:after="120" w:line="360" w:lineRule="auto"/>
        <w:rPr>
          <w:rFonts w:cs="Arial"/>
          <w:b/>
          <w:szCs w:val="22"/>
          <w:lang w:val="en-US" w:eastAsia="de-DE" w:bidi="ar-SA"/>
        </w:rPr>
      </w:pPr>
      <w:r>
        <w:rPr>
          <w:rFonts w:cs="Arial"/>
          <w:b/>
          <w:szCs w:val="22"/>
          <w:lang w:val="en-US" w:eastAsia="de-DE" w:bidi="ar-SA"/>
        </w:rPr>
        <w:lastRenderedPageBreak/>
        <w:t>Table 2</w:t>
      </w:r>
      <w:r w:rsidR="00B739BC">
        <w:rPr>
          <w:rFonts w:cs="Arial"/>
          <w:b/>
          <w:szCs w:val="22"/>
          <w:lang w:val="en-US" w:eastAsia="de-DE" w:bidi="ar-SA"/>
        </w:rPr>
        <w:t>:</w:t>
      </w:r>
      <w:r>
        <w:rPr>
          <w:rFonts w:cs="Arial"/>
          <w:b/>
          <w:szCs w:val="22"/>
          <w:lang w:val="en-US" w:eastAsia="de-DE" w:bidi="ar-SA"/>
        </w:rPr>
        <w:t xml:space="preserve"> Pharmacokinetic parameters derived from </w:t>
      </w:r>
      <w:r w:rsidR="003477F7">
        <w:rPr>
          <w:rFonts w:cs="Arial"/>
          <w:b/>
          <w:szCs w:val="22"/>
          <w:lang w:val="en-US" w:eastAsia="de-DE" w:bidi="ar-SA"/>
        </w:rPr>
        <w:t>two</w:t>
      </w:r>
      <w:r>
        <w:rPr>
          <w:rFonts w:cs="Arial"/>
          <w:b/>
          <w:szCs w:val="22"/>
          <w:lang w:val="en-US" w:eastAsia="de-DE" w:bidi="ar-SA"/>
        </w:rPr>
        <w:t>-site absorption model</w:t>
      </w:r>
      <w:r w:rsidRPr="002D7A25">
        <w:rPr>
          <w:rFonts w:cs="Arial"/>
          <w:b/>
          <w:szCs w:val="22"/>
          <w:lang w:val="en-US" w:eastAsia="de-DE" w:bidi="ar-SA"/>
        </w:rPr>
        <w:t>.</w:t>
      </w:r>
    </w:p>
    <w:tbl>
      <w:tblPr>
        <w:tblStyle w:val="TableGrid31"/>
        <w:tblW w:w="0" w:type="auto"/>
        <w:tblLook w:val="04A0" w:firstRow="1" w:lastRow="0" w:firstColumn="1" w:lastColumn="0" w:noHBand="0" w:noVBand="1"/>
      </w:tblPr>
      <w:tblGrid>
        <w:gridCol w:w="959"/>
        <w:gridCol w:w="2089"/>
        <w:gridCol w:w="1620"/>
        <w:gridCol w:w="1620"/>
      </w:tblGrid>
      <w:tr w:rsidR="003849A3" w:rsidRPr="00441601" w:rsidTr="00C46C9B">
        <w:tc>
          <w:tcPr>
            <w:tcW w:w="959" w:type="dxa"/>
            <w:tcBorders>
              <w:top w:val="nil"/>
              <w:left w:val="nil"/>
              <w:bottom w:val="nil"/>
              <w:right w:val="single" w:sz="4" w:space="0" w:color="auto"/>
            </w:tcBorders>
          </w:tcPr>
          <w:p w:rsidR="003849A3" w:rsidRPr="00C46C9B" w:rsidRDefault="003849A3">
            <w:pPr>
              <w:widowControl/>
              <w:spacing w:before="40" w:after="40"/>
              <w:rPr>
                <w:b/>
                <w:lang w:bidi="ar-SA"/>
              </w:rPr>
            </w:pPr>
          </w:p>
        </w:tc>
        <w:tc>
          <w:tcPr>
            <w:tcW w:w="2089" w:type="dxa"/>
            <w:tcBorders>
              <w:left w:val="single" w:sz="4" w:space="0" w:color="auto"/>
            </w:tcBorders>
          </w:tcPr>
          <w:p w:rsidR="003849A3" w:rsidRPr="00C46C9B" w:rsidRDefault="003849A3" w:rsidP="00C46C9B">
            <w:pPr>
              <w:widowControl/>
              <w:spacing w:before="40" w:after="40"/>
              <w:rPr>
                <w:b/>
                <w:sz w:val="20"/>
                <w:szCs w:val="20"/>
                <w:lang w:bidi="ar-SA"/>
              </w:rPr>
            </w:pPr>
            <w:r w:rsidRPr="00C46C9B">
              <w:rPr>
                <w:b/>
                <w:sz w:val="20"/>
                <w:szCs w:val="20"/>
                <w:lang w:bidi="ar-SA"/>
              </w:rPr>
              <w:t>Parameter</w:t>
            </w:r>
          </w:p>
        </w:tc>
        <w:tc>
          <w:tcPr>
            <w:tcW w:w="1620" w:type="dxa"/>
          </w:tcPr>
          <w:p w:rsidR="003849A3" w:rsidRPr="00C46C9B" w:rsidRDefault="003849A3" w:rsidP="00C46C9B">
            <w:pPr>
              <w:widowControl/>
              <w:spacing w:before="40" w:after="40"/>
              <w:rPr>
                <w:b/>
                <w:sz w:val="20"/>
                <w:szCs w:val="20"/>
                <w:lang w:bidi="ar-SA"/>
              </w:rPr>
            </w:pPr>
            <w:r w:rsidRPr="00C46C9B">
              <w:rPr>
                <w:b/>
                <w:sz w:val="20"/>
                <w:szCs w:val="20"/>
                <w:lang w:bidi="ar-SA"/>
              </w:rPr>
              <w:t>Value</w:t>
            </w:r>
          </w:p>
        </w:tc>
        <w:tc>
          <w:tcPr>
            <w:tcW w:w="1620" w:type="dxa"/>
          </w:tcPr>
          <w:p w:rsidR="003849A3" w:rsidRPr="00C46C9B" w:rsidRDefault="003849A3" w:rsidP="00C46C9B">
            <w:pPr>
              <w:widowControl/>
              <w:spacing w:before="40" w:after="40"/>
              <w:rPr>
                <w:b/>
                <w:sz w:val="20"/>
                <w:szCs w:val="20"/>
                <w:lang w:bidi="ar-SA"/>
              </w:rPr>
            </w:pPr>
            <w:r w:rsidRPr="00C46C9B">
              <w:rPr>
                <w:b/>
                <w:sz w:val="20"/>
                <w:szCs w:val="20"/>
                <w:lang w:bidi="ar-SA"/>
              </w:rPr>
              <w:t>Unit</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sz w:val="20"/>
                <w:szCs w:val="20"/>
                <w:lang w:val="en-GB" w:bidi="ar-SA"/>
              </w:rPr>
            </w:pPr>
            <w:r w:rsidRPr="00C46C9B">
              <w:rPr>
                <w:sz w:val="20"/>
                <w:szCs w:val="20"/>
                <w:lang w:bidi="ar-SA"/>
              </w:rPr>
              <w:t>Frac</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0.16</w:t>
            </w:r>
          </w:p>
        </w:tc>
        <w:tc>
          <w:tcPr>
            <w:tcW w:w="1620" w:type="dxa"/>
          </w:tcPr>
          <w:p w:rsidR="003849A3" w:rsidRPr="00C46C9B" w:rsidRDefault="003849A3" w:rsidP="00C46C9B">
            <w:pPr>
              <w:widowControl/>
              <w:spacing w:before="40" w:after="40"/>
              <w:rPr>
                <w:rFonts w:eastAsia="Times New Roman"/>
                <w:sz w:val="20"/>
                <w:szCs w:val="20"/>
                <w:lang w:val="en-GB" w:bidi="ar-SA"/>
              </w:rPr>
            </w:pP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T</w:t>
            </w:r>
            <w:r w:rsidRPr="00C46C9B">
              <w:rPr>
                <w:sz w:val="20"/>
                <w:szCs w:val="20"/>
                <w:vertAlign w:val="subscript"/>
                <w:lang w:bidi="ar-SA"/>
              </w:rPr>
              <w:t>lag</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4.83</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Pr>
                <w:sz w:val="20"/>
                <w:szCs w:val="20"/>
                <w:lang w:bidi="ar-SA"/>
              </w:rPr>
              <w:t>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k</w:t>
            </w:r>
            <w:r w:rsidRPr="00C46C9B">
              <w:rPr>
                <w:sz w:val="20"/>
                <w:szCs w:val="20"/>
                <w:vertAlign w:val="subscript"/>
                <w:lang w:bidi="ar-SA"/>
              </w:rPr>
              <w:t>a1</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3.87</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k</w:t>
            </w:r>
            <w:r w:rsidRPr="00C46C9B">
              <w:rPr>
                <w:sz w:val="20"/>
                <w:szCs w:val="20"/>
                <w:vertAlign w:val="subscript"/>
                <w:lang w:bidi="ar-SA"/>
              </w:rPr>
              <w:t>a2</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0.07</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k</w:t>
            </w:r>
            <w:r w:rsidRPr="00C46C9B">
              <w:rPr>
                <w:sz w:val="20"/>
                <w:szCs w:val="20"/>
                <w:vertAlign w:val="subscript"/>
                <w:lang w:bidi="ar-SA"/>
              </w:rPr>
              <w:t>e</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0.13</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8C6E83" w:rsidRDefault="003849A3" w:rsidP="00C46C9B">
            <w:pPr>
              <w:widowControl/>
              <w:spacing w:before="40" w:after="40"/>
              <w:rPr>
                <w:rFonts w:eastAsia="Times New Roman" w:cs="Arial"/>
                <w:sz w:val="20"/>
                <w:szCs w:val="20"/>
                <w:lang w:val="en-GB" w:bidi="ar-SA"/>
              </w:rPr>
            </w:pPr>
            <w:r w:rsidRPr="008C6E83">
              <w:rPr>
                <w:sz w:val="20"/>
                <w:szCs w:val="20"/>
                <w:lang w:bidi="ar-SA"/>
              </w:rPr>
              <w:t>t</w:t>
            </w:r>
            <w:r w:rsidRPr="008C6E83">
              <w:rPr>
                <w:sz w:val="20"/>
                <w:szCs w:val="20"/>
                <w:vertAlign w:val="subscript"/>
                <w:lang w:bidi="ar-SA"/>
              </w:rPr>
              <w:t xml:space="preserve">1/2 </w:t>
            </w:r>
            <w:r w:rsidRPr="008C6E83">
              <w:rPr>
                <w:sz w:val="20"/>
                <w:szCs w:val="20"/>
                <w:lang w:bidi="ar-SA"/>
              </w:rPr>
              <w:t>(k</w:t>
            </w:r>
            <w:r w:rsidRPr="008C6E83">
              <w:rPr>
                <w:sz w:val="20"/>
                <w:szCs w:val="20"/>
                <w:vertAlign w:val="subscript"/>
                <w:lang w:bidi="ar-SA"/>
              </w:rPr>
              <w:t>a1</w:t>
            </w:r>
            <w:r w:rsidRPr="008C6E83">
              <w:rPr>
                <w:sz w:val="20"/>
                <w:szCs w:val="20"/>
                <w:lang w:bidi="ar-SA"/>
              </w:rPr>
              <w:t>)</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0.18</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8C6E83" w:rsidRDefault="003849A3" w:rsidP="00C46C9B">
            <w:pPr>
              <w:widowControl/>
              <w:spacing w:before="40" w:after="40"/>
              <w:rPr>
                <w:rFonts w:eastAsia="Times New Roman" w:cs="Arial"/>
                <w:sz w:val="20"/>
                <w:szCs w:val="20"/>
                <w:lang w:val="en-GB" w:bidi="ar-SA"/>
              </w:rPr>
            </w:pPr>
            <w:r w:rsidRPr="008C6E83">
              <w:rPr>
                <w:sz w:val="20"/>
                <w:szCs w:val="20"/>
                <w:lang w:bidi="ar-SA"/>
              </w:rPr>
              <w:t>t</w:t>
            </w:r>
            <w:r w:rsidRPr="008C6E83">
              <w:rPr>
                <w:sz w:val="20"/>
                <w:szCs w:val="20"/>
                <w:vertAlign w:val="subscript"/>
                <w:lang w:bidi="ar-SA"/>
              </w:rPr>
              <w:t>1/2</w:t>
            </w:r>
            <w:r w:rsidRPr="008C6E83">
              <w:rPr>
                <w:sz w:val="20"/>
                <w:szCs w:val="20"/>
                <w:lang w:bidi="ar-SA"/>
              </w:rPr>
              <w:t xml:space="preserve"> (k</w:t>
            </w:r>
            <w:r w:rsidRPr="008C6E83">
              <w:rPr>
                <w:sz w:val="20"/>
                <w:szCs w:val="20"/>
                <w:vertAlign w:val="subscript"/>
                <w:lang w:bidi="ar-SA"/>
              </w:rPr>
              <w:t>a2</w:t>
            </w:r>
            <w:r w:rsidRPr="008C6E83">
              <w:rPr>
                <w:sz w:val="20"/>
                <w:szCs w:val="20"/>
                <w:lang w:bidi="ar-SA"/>
              </w:rPr>
              <w:t>)</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9.80</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8C6E83" w:rsidRDefault="003849A3" w:rsidP="00C46C9B">
            <w:pPr>
              <w:widowControl/>
              <w:spacing w:before="40" w:after="40"/>
              <w:rPr>
                <w:rFonts w:eastAsia="Times New Roman" w:cs="Arial"/>
                <w:sz w:val="20"/>
                <w:szCs w:val="20"/>
                <w:lang w:val="en-GB" w:bidi="ar-SA"/>
              </w:rPr>
            </w:pPr>
            <w:r w:rsidRPr="008C6E83">
              <w:rPr>
                <w:sz w:val="20"/>
                <w:szCs w:val="20"/>
                <w:lang w:bidi="ar-SA"/>
              </w:rPr>
              <w:t>t</w:t>
            </w:r>
            <w:r w:rsidRPr="008C6E83">
              <w:rPr>
                <w:sz w:val="20"/>
                <w:szCs w:val="20"/>
                <w:vertAlign w:val="subscript"/>
                <w:lang w:bidi="ar-SA"/>
              </w:rPr>
              <w:t>1/2</w:t>
            </w:r>
            <w:r w:rsidRPr="008C6E83">
              <w:rPr>
                <w:sz w:val="20"/>
                <w:szCs w:val="20"/>
                <w:lang w:bidi="ar-SA"/>
              </w:rPr>
              <w:t xml:space="preserve"> (k</w:t>
            </w:r>
            <w:r w:rsidRPr="008C6E83">
              <w:rPr>
                <w:sz w:val="20"/>
                <w:szCs w:val="20"/>
                <w:vertAlign w:val="subscript"/>
                <w:lang w:bidi="ar-SA"/>
              </w:rPr>
              <w:t>e</w:t>
            </w:r>
            <w:r w:rsidRPr="008C6E83">
              <w:rPr>
                <w:sz w:val="20"/>
                <w:szCs w:val="20"/>
                <w:lang w:bidi="ar-SA"/>
              </w:rPr>
              <w:t>)</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5.40</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T</w:t>
            </w:r>
            <w:r w:rsidRPr="00C46C9B">
              <w:rPr>
                <w:sz w:val="20"/>
                <w:szCs w:val="20"/>
                <w:vertAlign w:val="subscript"/>
                <w:lang w:bidi="ar-SA"/>
              </w:rPr>
              <w:t>max1</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0.91</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Pr>
                <w:sz w:val="20"/>
                <w:szCs w:val="20"/>
                <w:lang w:bidi="ar-SA"/>
              </w:rPr>
              <w:t>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C</w:t>
            </w:r>
            <w:r w:rsidRPr="00C46C9B">
              <w:rPr>
                <w:sz w:val="20"/>
                <w:szCs w:val="20"/>
                <w:vertAlign w:val="subscript"/>
                <w:lang w:bidi="ar-SA"/>
              </w:rPr>
              <w:t>max1</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2.13</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ng/mL</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T</w:t>
            </w:r>
            <w:r w:rsidRPr="00C46C9B">
              <w:rPr>
                <w:sz w:val="20"/>
                <w:szCs w:val="20"/>
                <w:vertAlign w:val="subscript"/>
                <w:lang w:bidi="ar-SA"/>
              </w:rPr>
              <w:t>max2</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15.2</w:t>
            </w:r>
          </w:p>
        </w:tc>
        <w:tc>
          <w:tcPr>
            <w:tcW w:w="1620" w:type="dxa"/>
          </w:tcPr>
          <w:p w:rsidR="003849A3" w:rsidRPr="00C46C9B" w:rsidRDefault="00C64211" w:rsidP="00C46C9B">
            <w:pPr>
              <w:widowControl/>
              <w:spacing w:before="40" w:after="40"/>
              <w:rPr>
                <w:rFonts w:eastAsia="Times New Roman" w:cs="Arial"/>
                <w:sz w:val="20"/>
                <w:szCs w:val="20"/>
                <w:lang w:val="en-GB" w:bidi="ar-SA"/>
              </w:rPr>
            </w:pPr>
            <w:r>
              <w:rPr>
                <w:sz w:val="20"/>
                <w:szCs w:val="20"/>
                <w:lang w:bidi="ar-SA"/>
              </w:rPr>
              <w:t>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C</w:t>
            </w:r>
            <w:r w:rsidRPr="00C46C9B">
              <w:rPr>
                <w:sz w:val="20"/>
                <w:szCs w:val="20"/>
                <w:vertAlign w:val="subscript"/>
                <w:lang w:bidi="ar-SA"/>
              </w:rPr>
              <w:t>max2</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3.73</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ng/mL</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AUC</w:t>
            </w:r>
            <w:r w:rsidRPr="00C46C9B">
              <w:rPr>
                <w:sz w:val="20"/>
                <w:szCs w:val="20"/>
                <w:vertAlign w:val="subscript"/>
                <w:lang w:bidi="ar-SA"/>
              </w:rPr>
              <w:t>0-t</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108</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ng/mL</w:t>
            </w:r>
            <w:r w:rsidRPr="00C46C9B">
              <w:rPr>
                <w:rFonts w:cs="Arial"/>
                <w:sz w:val="20"/>
                <w:szCs w:val="20"/>
                <w:lang w:bidi="ar-SA"/>
              </w:rPr>
              <w:t>•</w:t>
            </w:r>
            <w:r w:rsidRPr="00C46C9B">
              <w:rPr>
                <w:sz w:val="20"/>
                <w:szCs w:val="20"/>
                <w:lang w:bidi="ar-SA"/>
              </w:rPr>
              <w:t>h</w:t>
            </w:r>
          </w:p>
        </w:tc>
      </w:tr>
      <w:tr w:rsidR="003849A3" w:rsidRPr="00441601" w:rsidTr="00C46C9B">
        <w:tc>
          <w:tcPr>
            <w:tcW w:w="959" w:type="dxa"/>
            <w:tcBorders>
              <w:top w:val="nil"/>
              <w:left w:val="nil"/>
              <w:bottom w:val="nil"/>
              <w:right w:val="single" w:sz="4" w:space="0" w:color="auto"/>
            </w:tcBorders>
          </w:tcPr>
          <w:p w:rsidR="003849A3" w:rsidRPr="00441601" w:rsidRDefault="003849A3">
            <w:pPr>
              <w:widowControl/>
              <w:spacing w:before="40" w:after="40"/>
              <w:rPr>
                <w:lang w:bidi="ar-SA"/>
              </w:rPr>
            </w:pPr>
          </w:p>
        </w:tc>
        <w:tc>
          <w:tcPr>
            <w:tcW w:w="2089" w:type="dxa"/>
            <w:tcBorders>
              <w:left w:val="single" w:sz="4" w:space="0" w:color="auto"/>
            </w:tcBorders>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AUC</w:t>
            </w:r>
            <w:r w:rsidRPr="00C46C9B">
              <w:rPr>
                <w:sz w:val="20"/>
                <w:szCs w:val="20"/>
                <w:vertAlign w:val="subscript"/>
                <w:lang w:bidi="ar-SA"/>
              </w:rPr>
              <w:t>0-</w:t>
            </w:r>
            <w:r w:rsidRPr="00C46C9B">
              <w:rPr>
                <w:rFonts w:cs="Arial"/>
                <w:sz w:val="20"/>
                <w:szCs w:val="20"/>
                <w:vertAlign w:val="subscript"/>
                <w:lang w:bidi="ar-SA"/>
              </w:rPr>
              <w:t>∞</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118</w:t>
            </w:r>
          </w:p>
        </w:tc>
        <w:tc>
          <w:tcPr>
            <w:tcW w:w="1620" w:type="dxa"/>
          </w:tcPr>
          <w:p w:rsidR="003849A3" w:rsidRPr="00C46C9B" w:rsidRDefault="003849A3" w:rsidP="00C46C9B">
            <w:pPr>
              <w:widowControl/>
              <w:spacing w:before="40" w:after="40"/>
              <w:rPr>
                <w:rFonts w:eastAsia="Times New Roman" w:cs="Arial"/>
                <w:sz w:val="20"/>
                <w:szCs w:val="20"/>
                <w:lang w:val="en-GB" w:bidi="ar-SA"/>
              </w:rPr>
            </w:pPr>
            <w:r w:rsidRPr="00C46C9B">
              <w:rPr>
                <w:sz w:val="20"/>
                <w:szCs w:val="20"/>
                <w:lang w:bidi="ar-SA"/>
              </w:rPr>
              <w:t>ng/mL</w:t>
            </w:r>
            <w:r w:rsidRPr="00C46C9B">
              <w:rPr>
                <w:rFonts w:cs="Arial"/>
                <w:sz w:val="20"/>
                <w:szCs w:val="20"/>
                <w:lang w:bidi="ar-SA"/>
              </w:rPr>
              <w:t>•</w:t>
            </w:r>
            <w:r w:rsidRPr="00C46C9B">
              <w:rPr>
                <w:sz w:val="20"/>
                <w:szCs w:val="20"/>
                <w:lang w:bidi="ar-SA"/>
              </w:rPr>
              <w:t>h</w:t>
            </w:r>
            <w:r w:rsidRPr="00C46C9B" w:rsidDel="00DB488E">
              <w:rPr>
                <w:sz w:val="20"/>
                <w:szCs w:val="20"/>
                <w:lang w:bidi="ar-SA"/>
              </w:rPr>
              <w:t xml:space="preserve"> </w:t>
            </w:r>
          </w:p>
        </w:tc>
      </w:tr>
    </w:tbl>
    <w:p w:rsidR="00441601" w:rsidRPr="00A80015" w:rsidRDefault="009D252E" w:rsidP="00A80015">
      <w:pPr>
        <w:ind w:left="567" w:firstLine="567"/>
        <w:rPr>
          <w:sz w:val="18"/>
          <w:szCs w:val="18"/>
        </w:rPr>
      </w:pPr>
      <w:r w:rsidRPr="00A80015">
        <w:rPr>
          <w:sz w:val="18"/>
          <w:szCs w:val="18"/>
        </w:rPr>
        <w:tab/>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7007"/>
      </w:tblGrid>
      <w:tr w:rsidR="00416450" w:rsidTr="00B0402B">
        <w:tc>
          <w:tcPr>
            <w:tcW w:w="993" w:type="dxa"/>
          </w:tcPr>
          <w:p w:rsidR="00416450" w:rsidRDefault="00416450" w:rsidP="00B06DD9">
            <w:pPr>
              <w:autoSpaceDE w:val="0"/>
              <w:autoSpaceDN w:val="0"/>
              <w:adjustRightInd w:val="0"/>
              <w:rPr>
                <w:rFonts w:cs="Arial"/>
                <w:lang w:val="en-US"/>
              </w:rPr>
            </w:pPr>
            <w:r w:rsidRPr="00A80015">
              <w:rPr>
                <w:sz w:val="18"/>
                <w:szCs w:val="18"/>
              </w:rPr>
              <w:t>Frac</w:t>
            </w:r>
          </w:p>
        </w:tc>
        <w:tc>
          <w:tcPr>
            <w:tcW w:w="7007" w:type="dxa"/>
          </w:tcPr>
          <w:p w:rsidR="00416450" w:rsidRDefault="00416450" w:rsidP="00B06DD9">
            <w:pPr>
              <w:autoSpaceDE w:val="0"/>
              <w:autoSpaceDN w:val="0"/>
              <w:adjustRightInd w:val="0"/>
              <w:rPr>
                <w:rFonts w:cs="Arial"/>
                <w:lang w:val="en-US"/>
              </w:rPr>
            </w:pPr>
            <w:r w:rsidRPr="00A80015">
              <w:rPr>
                <w:sz w:val="18"/>
                <w:szCs w:val="18"/>
              </w:rPr>
              <w:t xml:space="preserve">fraction of drug absorbed </w:t>
            </w:r>
            <w:r>
              <w:rPr>
                <w:sz w:val="18"/>
                <w:szCs w:val="18"/>
              </w:rPr>
              <w:t>via</w:t>
            </w:r>
            <w:r w:rsidRPr="00A80015">
              <w:rPr>
                <w:sz w:val="18"/>
                <w:szCs w:val="18"/>
              </w:rPr>
              <w:t xml:space="preserve"> site 1</w:t>
            </w:r>
          </w:p>
        </w:tc>
      </w:tr>
      <w:tr w:rsidR="00416450" w:rsidTr="00B0402B">
        <w:tc>
          <w:tcPr>
            <w:tcW w:w="993" w:type="dxa"/>
          </w:tcPr>
          <w:p w:rsidR="00416450" w:rsidRDefault="00416450" w:rsidP="00B06DD9">
            <w:pPr>
              <w:autoSpaceDE w:val="0"/>
              <w:autoSpaceDN w:val="0"/>
              <w:adjustRightInd w:val="0"/>
              <w:rPr>
                <w:rFonts w:cs="Arial"/>
                <w:lang w:val="en-US"/>
              </w:rPr>
            </w:pPr>
            <w:r w:rsidRPr="00A80015">
              <w:rPr>
                <w:sz w:val="18"/>
                <w:szCs w:val="18"/>
              </w:rPr>
              <w:t>T</w:t>
            </w:r>
            <w:r w:rsidRPr="00A80015">
              <w:rPr>
                <w:sz w:val="18"/>
                <w:szCs w:val="18"/>
                <w:vertAlign w:val="subscript"/>
              </w:rPr>
              <w:t>lag</w:t>
            </w:r>
          </w:p>
        </w:tc>
        <w:tc>
          <w:tcPr>
            <w:tcW w:w="7007" w:type="dxa"/>
          </w:tcPr>
          <w:p w:rsidR="00416450" w:rsidRDefault="00416450" w:rsidP="00B06DD9">
            <w:pPr>
              <w:autoSpaceDE w:val="0"/>
              <w:autoSpaceDN w:val="0"/>
              <w:adjustRightInd w:val="0"/>
              <w:rPr>
                <w:rFonts w:cs="Arial"/>
                <w:lang w:val="en-US"/>
              </w:rPr>
            </w:pPr>
            <w:r w:rsidRPr="00A80015">
              <w:rPr>
                <w:sz w:val="18"/>
                <w:szCs w:val="18"/>
              </w:rPr>
              <w:t>time delay of absorption</w:t>
            </w:r>
            <w:r>
              <w:rPr>
                <w:sz w:val="18"/>
                <w:szCs w:val="18"/>
              </w:rPr>
              <w:t xml:space="preserve"> via site 2</w:t>
            </w:r>
          </w:p>
        </w:tc>
      </w:tr>
      <w:tr w:rsidR="00416450" w:rsidTr="00B0402B">
        <w:tc>
          <w:tcPr>
            <w:tcW w:w="993" w:type="dxa"/>
          </w:tcPr>
          <w:p w:rsidR="00416450" w:rsidRDefault="00416450" w:rsidP="00B06DD9">
            <w:pPr>
              <w:autoSpaceDE w:val="0"/>
              <w:autoSpaceDN w:val="0"/>
              <w:adjustRightInd w:val="0"/>
              <w:rPr>
                <w:rFonts w:cs="Arial"/>
                <w:lang w:val="en-US"/>
              </w:rPr>
            </w:pPr>
            <w:r w:rsidRPr="00A80015">
              <w:rPr>
                <w:sz w:val="18"/>
                <w:szCs w:val="18"/>
              </w:rPr>
              <w:t>k</w:t>
            </w:r>
            <w:r w:rsidRPr="00A80015">
              <w:rPr>
                <w:sz w:val="18"/>
                <w:szCs w:val="18"/>
                <w:vertAlign w:val="subscript"/>
              </w:rPr>
              <w:t>a</w:t>
            </w:r>
          </w:p>
        </w:tc>
        <w:tc>
          <w:tcPr>
            <w:tcW w:w="7007" w:type="dxa"/>
          </w:tcPr>
          <w:p w:rsidR="00416450" w:rsidRDefault="00416450" w:rsidP="00B06DD9">
            <w:pPr>
              <w:autoSpaceDE w:val="0"/>
              <w:autoSpaceDN w:val="0"/>
              <w:adjustRightInd w:val="0"/>
              <w:rPr>
                <w:rFonts w:cs="Arial"/>
                <w:lang w:val="en-US"/>
              </w:rPr>
            </w:pPr>
            <w:r w:rsidRPr="00A80015">
              <w:rPr>
                <w:sz w:val="18"/>
                <w:szCs w:val="18"/>
              </w:rPr>
              <w:t>absorption rate constant</w:t>
            </w:r>
          </w:p>
        </w:tc>
      </w:tr>
      <w:tr w:rsidR="00416450" w:rsidTr="00B0402B">
        <w:tc>
          <w:tcPr>
            <w:tcW w:w="993" w:type="dxa"/>
          </w:tcPr>
          <w:p w:rsidR="00416450" w:rsidRDefault="00416450" w:rsidP="00B06DD9">
            <w:pPr>
              <w:autoSpaceDE w:val="0"/>
              <w:autoSpaceDN w:val="0"/>
              <w:adjustRightInd w:val="0"/>
              <w:rPr>
                <w:rFonts w:cs="Arial"/>
                <w:lang w:val="en-US"/>
              </w:rPr>
            </w:pPr>
            <w:r w:rsidRPr="00A80015">
              <w:rPr>
                <w:sz w:val="18"/>
                <w:szCs w:val="18"/>
              </w:rPr>
              <w:t>k</w:t>
            </w:r>
            <w:r w:rsidRPr="00A80015">
              <w:rPr>
                <w:sz w:val="18"/>
                <w:szCs w:val="18"/>
                <w:vertAlign w:val="subscript"/>
              </w:rPr>
              <w:t>a1</w:t>
            </w:r>
          </w:p>
        </w:tc>
        <w:tc>
          <w:tcPr>
            <w:tcW w:w="7007" w:type="dxa"/>
          </w:tcPr>
          <w:p w:rsidR="00416450" w:rsidRDefault="00416450" w:rsidP="00B06DD9">
            <w:pPr>
              <w:autoSpaceDE w:val="0"/>
              <w:autoSpaceDN w:val="0"/>
              <w:adjustRightInd w:val="0"/>
              <w:rPr>
                <w:rFonts w:cs="Arial"/>
                <w:lang w:val="en-US"/>
              </w:rPr>
            </w:pPr>
            <w:r w:rsidRPr="00A80015">
              <w:rPr>
                <w:sz w:val="18"/>
                <w:szCs w:val="18"/>
              </w:rPr>
              <w:t>k</w:t>
            </w:r>
            <w:r w:rsidRPr="00A80015">
              <w:rPr>
                <w:sz w:val="18"/>
                <w:szCs w:val="18"/>
                <w:vertAlign w:val="subscript"/>
              </w:rPr>
              <w:t>a</w:t>
            </w:r>
            <w:r w:rsidRPr="00A80015">
              <w:rPr>
                <w:sz w:val="18"/>
                <w:szCs w:val="18"/>
              </w:rPr>
              <w:t xml:space="preserve"> for site 1</w:t>
            </w:r>
          </w:p>
        </w:tc>
      </w:tr>
      <w:tr w:rsidR="00416450" w:rsidTr="00B0402B">
        <w:tc>
          <w:tcPr>
            <w:tcW w:w="993" w:type="dxa"/>
          </w:tcPr>
          <w:p w:rsidR="00416450" w:rsidRDefault="00416450" w:rsidP="00B06DD9">
            <w:pPr>
              <w:autoSpaceDE w:val="0"/>
              <w:autoSpaceDN w:val="0"/>
              <w:adjustRightInd w:val="0"/>
              <w:rPr>
                <w:rFonts w:cs="Arial"/>
                <w:lang w:val="en-US"/>
              </w:rPr>
            </w:pPr>
            <w:r w:rsidRPr="00A80015">
              <w:rPr>
                <w:sz w:val="18"/>
                <w:szCs w:val="18"/>
              </w:rPr>
              <w:t>k</w:t>
            </w:r>
            <w:r w:rsidRPr="00A80015">
              <w:rPr>
                <w:sz w:val="18"/>
                <w:szCs w:val="18"/>
                <w:vertAlign w:val="subscript"/>
              </w:rPr>
              <w:t>a2</w:t>
            </w:r>
          </w:p>
        </w:tc>
        <w:tc>
          <w:tcPr>
            <w:tcW w:w="7007" w:type="dxa"/>
          </w:tcPr>
          <w:p w:rsidR="00416450" w:rsidRDefault="00416450" w:rsidP="00B06DD9">
            <w:pPr>
              <w:autoSpaceDE w:val="0"/>
              <w:autoSpaceDN w:val="0"/>
              <w:adjustRightInd w:val="0"/>
              <w:rPr>
                <w:rFonts w:cs="Arial"/>
                <w:lang w:val="en-US"/>
              </w:rPr>
            </w:pPr>
            <w:r w:rsidRPr="00A80015">
              <w:rPr>
                <w:sz w:val="18"/>
                <w:szCs w:val="18"/>
              </w:rPr>
              <w:t>k</w:t>
            </w:r>
            <w:r w:rsidRPr="00A80015">
              <w:rPr>
                <w:sz w:val="18"/>
                <w:szCs w:val="18"/>
                <w:vertAlign w:val="subscript"/>
              </w:rPr>
              <w:t>a</w:t>
            </w:r>
            <w:r w:rsidRPr="00A80015">
              <w:rPr>
                <w:sz w:val="18"/>
                <w:szCs w:val="18"/>
              </w:rPr>
              <w:t xml:space="preserve"> for site 2</w:t>
            </w:r>
          </w:p>
        </w:tc>
      </w:tr>
      <w:tr w:rsidR="00416450" w:rsidTr="00B0402B">
        <w:tc>
          <w:tcPr>
            <w:tcW w:w="993" w:type="dxa"/>
          </w:tcPr>
          <w:p w:rsidR="00416450" w:rsidRDefault="00416450" w:rsidP="00B06DD9">
            <w:pPr>
              <w:autoSpaceDE w:val="0"/>
              <w:autoSpaceDN w:val="0"/>
              <w:adjustRightInd w:val="0"/>
              <w:rPr>
                <w:rFonts w:cs="Arial"/>
                <w:lang w:val="en-US"/>
              </w:rPr>
            </w:pPr>
            <w:r w:rsidRPr="00A80015">
              <w:rPr>
                <w:sz w:val="18"/>
                <w:szCs w:val="18"/>
              </w:rPr>
              <w:t>k</w:t>
            </w:r>
            <w:r w:rsidRPr="00A80015">
              <w:rPr>
                <w:sz w:val="18"/>
                <w:szCs w:val="18"/>
                <w:vertAlign w:val="subscript"/>
              </w:rPr>
              <w:t>e</w:t>
            </w:r>
          </w:p>
        </w:tc>
        <w:tc>
          <w:tcPr>
            <w:tcW w:w="7007" w:type="dxa"/>
          </w:tcPr>
          <w:p w:rsidR="00416450" w:rsidRDefault="00416450" w:rsidP="00B06DD9">
            <w:pPr>
              <w:autoSpaceDE w:val="0"/>
              <w:autoSpaceDN w:val="0"/>
              <w:adjustRightInd w:val="0"/>
              <w:rPr>
                <w:rFonts w:cs="Arial"/>
                <w:lang w:val="en-US"/>
              </w:rPr>
            </w:pPr>
            <w:r w:rsidRPr="00A80015">
              <w:rPr>
                <w:sz w:val="18"/>
                <w:szCs w:val="18"/>
              </w:rPr>
              <w:t>elimination rate constant</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t</w:t>
            </w:r>
            <w:r w:rsidRPr="00A80015">
              <w:rPr>
                <w:sz w:val="18"/>
                <w:szCs w:val="18"/>
                <w:vertAlign w:val="subscript"/>
              </w:rPr>
              <w:t>1/2</w:t>
            </w:r>
          </w:p>
        </w:tc>
        <w:tc>
          <w:tcPr>
            <w:tcW w:w="7007" w:type="dxa"/>
          </w:tcPr>
          <w:p w:rsidR="00416450" w:rsidRDefault="00416450" w:rsidP="008C6E83">
            <w:pPr>
              <w:autoSpaceDE w:val="0"/>
              <w:autoSpaceDN w:val="0"/>
              <w:adjustRightInd w:val="0"/>
              <w:rPr>
                <w:rFonts w:cs="Arial"/>
                <w:lang w:val="en-US"/>
              </w:rPr>
            </w:pPr>
            <w:r w:rsidRPr="00A80015">
              <w:rPr>
                <w:sz w:val="18"/>
                <w:szCs w:val="18"/>
              </w:rPr>
              <w:t>half-life</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T</w:t>
            </w:r>
            <w:r w:rsidRPr="00A80015">
              <w:rPr>
                <w:sz w:val="18"/>
                <w:szCs w:val="18"/>
                <w:vertAlign w:val="subscript"/>
              </w:rPr>
              <w:t>max</w:t>
            </w:r>
          </w:p>
        </w:tc>
        <w:tc>
          <w:tcPr>
            <w:tcW w:w="7007" w:type="dxa"/>
          </w:tcPr>
          <w:p w:rsidR="00416450" w:rsidRDefault="00416450" w:rsidP="00B06DD9">
            <w:pPr>
              <w:autoSpaceDE w:val="0"/>
              <w:autoSpaceDN w:val="0"/>
              <w:adjustRightInd w:val="0"/>
              <w:rPr>
                <w:rFonts w:cs="Arial"/>
                <w:lang w:val="en-US"/>
              </w:rPr>
            </w:pPr>
            <w:r w:rsidRPr="00A80015">
              <w:rPr>
                <w:sz w:val="18"/>
                <w:szCs w:val="18"/>
              </w:rPr>
              <w:t>time to reach maximum serum concentration</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T</w:t>
            </w:r>
            <w:r w:rsidRPr="00A80015">
              <w:rPr>
                <w:sz w:val="18"/>
                <w:szCs w:val="18"/>
                <w:vertAlign w:val="subscript"/>
              </w:rPr>
              <w:t>max1</w:t>
            </w:r>
          </w:p>
        </w:tc>
        <w:tc>
          <w:tcPr>
            <w:tcW w:w="7007" w:type="dxa"/>
          </w:tcPr>
          <w:p w:rsidR="00416450" w:rsidRDefault="00823D5B" w:rsidP="00B06DD9">
            <w:pPr>
              <w:autoSpaceDE w:val="0"/>
              <w:autoSpaceDN w:val="0"/>
              <w:adjustRightInd w:val="0"/>
              <w:rPr>
                <w:rFonts w:cs="Arial"/>
                <w:lang w:val="en-US"/>
              </w:rPr>
            </w:pPr>
            <w:r w:rsidRPr="00A80015">
              <w:rPr>
                <w:sz w:val="18"/>
                <w:szCs w:val="18"/>
              </w:rPr>
              <w:t>T</w:t>
            </w:r>
            <w:r w:rsidRPr="00A80015">
              <w:rPr>
                <w:sz w:val="18"/>
                <w:szCs w:val="18"/>
                <w:vertAlign w:val="subscript"/>
              </w:rPr>
              <w:t>max</w:t>
            </w:r>
            <w:r w:rsidRPr="00A80015">
              <w:rPr>
                <w:sz w:val="18"/>
                <w:szCs w:val="18"/>
              </w:rPr>
              <w:t xml:space="preserve"> for peak 1</w:t>
            </w:r>
          </w:p>
        </w:tc>
      </w:tr>
      <w:tr w:rsidR="00416450" w:rsidTr="00B0402B">
        <w:tc>
          <w:tcPr>
            <w:tcW w:w="993" w:type="dxa"/>
          </w:tcPr>
          <w:p w:rsidR="00416450" w:rsidRDefault="00416450" w:rsidP="00B06DD9">
            <w:pPr>
              <w:autoSpaceDE w:val="0"/>
              <w:autoSpaceDN w:val="0"/>
              <w:adjustRightInd w:val="0"/>
              <w:rPr>
                <w:rFonts w:cs="Arial"/>
                <w:lang w:val="en-US"/>
              </w:rPr>
            </w:pPr>
            <w:r w:rsidRPr="00A80015">
              <w:rPr>
                <w:sz w:val="18"/>
                <w:szCs w:val="18"/>
              </w:rPr>
              <w:t>T</w:t>
            </w:r>
            <w:r w:rsidRPr="00A80015">
              <w:rPr>
                <w:sz w:val="18"/>
                <w:szCs w:val="18"/>
                <w:vertAlign w:val="subscript"/>
              </w:rPr>
              <w:t>max2</w:t>
            </w:r>
          </w:p>
        </w:tc>
        <w:tc>
          <w:tcPr>
            <w:tcW w:w="7007" w:type="dxa"/>
          </w:tcPr>
          <w:p w:rsidR="00416450" w:rsidRDefault="00823D5B" w:rsidP="00B06DD9">
            <w:pPr>
              <w:autoSpaceDE w:val="0"/>
              <w:autoSpaceDN w:val="0"/>
              <w:adjustRightInd w:val="0"/>
              <w:rPr>
                <w:rFonts w:cs="Arial"/>
                <w:lang w:val="en-US"/>
              </w:rPr>
            </w:pPr>
            <w:r w:rsidRPr="00A80015">
              <w:rPr>
                <w:sz w:val="18"/>
                <w:szCs w:val="18"/>
              </w:rPr>
              <w:t>T</w:t>
            </w:r>
            <w:r w:rsidRPr="00A80015">
              <w:rPr>
                <w:sz w:val="18"/>
                <w:szCs w:val="18"/>
                <w:vertAlign w:val="subscript"/>
              </w:rPr>
              <w:t>max</w:t>
            </w:r>
            <w:r w:rsidRPr="00A80015">
              <w:rPr>
                <w:sz w:val="18"/>
                <w:szCs w:val="18"/>
              </w:rPr>
              <w:t xml:space="preserve"> for peak</w:t>
            </w:r>
            <w:r>
              <w:rPr>
                <w:sz w:val="18"/>
                <w:szCs w:val="18"/>
              </w:rPr>
              <w:t xml:space="preserve"> </w:t>
            </w:r>
            <w:r w:rsidRPr="00A80015">
              <w:rPr>
                <w:sz w:val="18"/>
                <w:szCs w:val="18"/>
              </w:rPr>
              <w:t>2</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C</w:t>
            </w:r>
            <w:r w:rsidRPr="00A80015">
              <w:rPr>
                <w:sz w:val="18"/>
                <w:szCs w:val="18"/>
                <w:vertAlign w:val="subscript"/>
              </w:rPr>
              <w:t>max</w:t>
            </w:r>
          </w:p>
        </w:tc>
        <w:tc>
          <w:tcPr>
            <w:tcW w:w="7007" w:type="dxa"/>
          </w:tcPr>
          <w:p w:rsidR="00416450" w:rsidRDefault="00823D5B" w:rsidP="00B06DD9">
            <w:pPr>
              <w:autoSpaceDE w:val="0"/>
              <w:autoSpaceDN w:val="0"/>
              <w:adjustRightInd w:val="0"/>
              <w:rPr>
                <w:rFonts w:cs="Arial"/>
                <w:lang w:val="en-US"/>
              </w:rPr>
            </w:pPr>
            <w:r w:rsidRPr="00A80015">
              <w:rPr>
                <w:sz w:val="18"/>
                <w:szCs w:val="18"/>
              </w:rPr>
              <w:t>maximum serum concentration</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C</w:t>
            </w:r>
            <w:r w:rsidRPr="00A80015">
              <w:rPr>
                <w:sz w:val="18"/>
                <w:szCs w:val="18"/>
                <w:vertAlign w:val="subscript"/>
              </w:rPr>
              <w:t>max1</w:t>
            </w:r>
          </w:p>
        </w:tc>
        <w:tc>
          <w:tcPr>
            <w:tcW w:w="7007" w:type="dxa"/>
          </w:tcPr>
          <w:p w:rsidR="00416450" w:rsidRDefault="00823D5B" w:rsidP="00B06DD9">
            <w:pPr>
              <w:autoSpaceDE w:val="0"/>
              <w:autoSpaceDN w:val="0"/>
              <w:adjustRightInd w:val="0"/>
              <w:rPr>
                <w:rFonts w:cs="Arial"/>
                <w:lang w:val="en-US"/>
              </w:rPr>
            </w:pPr>
            <w:r w:rsidRPr="00A80015">
              <w:rPr>
                <w:sz w:val="18"/>
                <w:szCs w:val="18"/>
              </w:rPr>
              <w:t>C</w:t>
            </w:r>
            <w:r w:rsidRPr="00A80015">
              <w:rPr>
                <w:sz w:val="18"/>
                <w:szCs w:val="18"/>
                <w:vertAlign w:val="subscript"/>
              </w:rPr>
              <w:t>max</w:t>
            </w:r>
            <w:r w:rsidRPr="00A80015">
              <w:rPr>
                <w:sz w:val="18"/>
                <w:szCs w:val="18"/>
              </w:rPr>
              <w:t xml:space="preserve"> for peak 1</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C</w:t>
            </w:r>
            <w:r w:rsidRPr="00A80015">
              <w:rPr>
                <w:sz w:val="18"/>
                <w:szCs w:val="18"/>
                <w:vertAlign w:val="subscript"/>
              </w:rPr>
              <w:t>max2</w:t>
            </w:r>
          </w:p>
        </w:tc>
        <w:tc>
          <w:tcPr>
            <w:tcW w:w="7007" w:type="dxa"/>
          </w:tcPr>
          <w:p w:rsidR="00416450" w:rsidRDefault="00823D5B" w:rsidP="00B06DD9">
            <w:pPr>
              <w:autoSpaceDE w:val="0"/>
              <w:autoSpaceDN w:val="0"/>
              <w:adjustRightInd w:val="0"/>
              <w:rPr>
                <w:rFonts w:cs="Arial"/>
                <w:lang w:val="en-US"/>
              </w:rPr>
            </w:pPr>
            <w:r w:rsidRPr="00A80015">
              <w:rPr>
                <w:sz w:val="18"/>
                <w:szCs w:val="18"/>
              </w:rPr>
              <w:t>C</w:t>
            </w:r>
            <w:r w:rsidRPr="00A80015">
              <w:rPr>
                <w:sz w:val="18"/>
                <w:szCs w:val="18"/>
                <w:vertAlign w:val="subscript"/>
              </w:rPr>
              <w:t>max</w:t>
            </w:r>
            <w:r w:rsidRPr="00A80015">
              <w:rPr>
                <w:sz w:val="18"/>
                <w:szCs w:val="18"/>
              </w:rPr>
              <w:t xml:space="preserve"> for peak 2</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AUC</w:t>
            </w:r>
          </w:p>
        </w:tc>
        <w:tc>
          <w:tcPr>
            <w:tcW w:w="7007" w:type="dxa"/>
          </w:tcPr>
          <w:p w:rsidR="00416450" w:rsidRDefault="00823D5B" w:rsidP="00B06DD9">
            <w:pPr>
              <w:autoSpaceDE w:val="0"/>
              <w:autoSpaceDN w:val="0"/>
              <w:adjustRightInd w:val="0"/>
              <w:rPr>
                <w:rFonts w:cs="Arial"/>
                <w:lang w:val="en-US"/>
              </w:rPr>
            </w:pPr>
            <w:r w:rsidRPr="00A80015">
              <w:rPr>
                <w:sz w:val="18"/>
                <w:szCs w:val="18"/>
              </w:rPr>
              <w:t xml:space="preserve">Area under the </w:t>
            </w:r>
            <w:r w:rsidRPr="00924B57">
              <w:rPr>
                <w:sz w:val="18"/>
                <w:szCs w:val="18"/>
              </w:rPr>
              <w:t>serum concentration versus time</w:t>
            </w:r>
            <w:r w:rsidRPr="00567370">
              <w:rPr>
                <w:sz w:val="18"/>
                <w:szCs w:val="18"/>
              </w:rPr>
              <w:t xml:space="preserve"> </w:t>
            </w:r>
            <w:r w:rsidRPr="00A80015">
              <w:rPr>
                <w:sz w:val="18"/>
                <w:szCs w:val="18"/>
              </w:rPr>
              <w:t>curve</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AUC</w:t>
            </w:r>
            <w:r w:rsidRPr="00A80015">
              <w:rPr>
                <w:sz w:val="18"/>
                <w:szCs w:val="18"/>
                <w:vertAlign w:val="subscript"/>
              </w:rPr>
              <w:t>0-t</w:t>
            </w:r>
          </w:p>
        </w:tc>
        <w:tc>
          <w:tcPr>
            <w:tcW w:w="7007" w:type="dxa"/>
          </w:tcPr>
          <w:p w:rsidR="00416450" w:rsidRDefault="00823D5B" w:rsidP="00B06DD9">
            <w:pPr>
              <w:autoSpaceDE w:val="0"/>
              <w:autoSpaceDN w:val="0"/>
              <w:adjustRightInd w:val="0"/>
              <w:rPr>
                <w:rFonts w:cs="Arial"/>
                <w:lang w:val="en-US"/>
              </w:rPr>
            </w:pPr>
            <w:r w:rsidRPr="00A80015">
              <w:rPr>
                <w:sz w:val="18"/>
                <w:szCs w:val="18"/>
              </w:rPr>
              <w:t>AUC calculated from time zero to final sampling time</w:t>
            </w:r>
          </w:p>
        </w:tc>
      </w:tr>
      <w:tr w:rsidR="00416450" w:rsidTr="00B0402B">
        <w:tc>
          <w:tcPr>
            <w:tcW w:w="993" w:type="dxa"/>
          </w:tcPr>
          <w:p w:rsidR="00416450" w:rsidRPr="00A80015" w:rsidRDefault="00416450" w:rsidP="00B06DD9">
            <w:pPr>
              <w:autoSpaceDE w:val="0"/>
              <w:autoSpaceDN w:val="0"/>
              <w:adjustRightInd w:val="0"/>
              <w:rPr>
                <w:sz w:val="18"/>
                <w:szCs w:val="18"/>
              </w:rPr>
            </w:pPr>
            <w:r w:rsidRPr="00A80015">
              <w:rPr>
                <w:sz w:val="18"/>
                <w:szCs w:val="18"/>
              </w:rPr>
              <w:t>AUC</w:t>
            </w:r>
            <w:r w:rsidRPr="00A80015">
              <w:rPr>
                <w:sz w:val="18"/>
                <w:szCs w:val="18"/>
                <w:vertAlign w:val="subscript"/>
              </w:rPr>
              <w:t>0-∞</w:t>
            </w:r>
          </w:p>
        </w:tc>
        <w:tc>
          <w:tcPr>
            <w:tcW w:w="7007" w:type="dxa"/>
          </w:tcPr>
          <w:p w:rsidR="00416450" w:rsidRDefault="00823D5B" w:rsidP="00B06DD9">
            <w:pPr>
              <w:autoSpaceDE w:val="0"/>
              <w:autoSpaceDN w:val="0"/>
              <w:adjustRightInd w:val="0"/>
              <w:rPr>
                <w:rFonts w:cs="Arial"/>
                <w:lang w:val="en-US"/>
              </w:rPr>
            </w:pPr>
            <w:r w:rsidRPr="00A80015">
              <w:rPr>
                <w:sz w:val="18"/>
                <w:szCs w:val="18"/>
              </w:rPr>
              <w:t>AUC calculated from time zero to extrapolated infinite time</w:t>
            </w:r>
          </w:p>
        </w:tc>
      </w:tr>
    </w:tbl>
    <w:p w:rsidR="00416450" w:rsidRDefault="00416450" w:rsidP="00B06DD9">
      <w:pPr>
        <w:autoSpaceDE w:val="0"/>
        <w:autoSpaceDN w:val="0"/>
        <w:adjustRightInd w:val="0"/>
        <w:rPr>
          <w:rFonts w:cs="Arial"/>
          <w:lang w:val="en-US"/>
        </w:rPr>
      </w:pPr>
    </w:p>
    <w:p w:rsidR="00B06DD9" w:rsidRPr="00B06DD9" w:rsidRDefault="00B06DD9" w:rsidP="00B06DD9">
      <w:pPr>
        <w:autoSpaceDE w:val="0"/>
        <w:autoSpaceDN w:val="0"/>
        <w:adjustRightInd w:val="0"/>
        <w:rPr>
          <w:rFonts w:cs="Arial"/>
          <w:lang w:val="en-US"/>
        </w:rPr>
      </w:pPr>
      <w:r w:rsidRPr="00B06DD9">
        <w:rPr>
          <w:rFonts w:cs="Arial"/>
          <w:lang w:val="en-US"/>
        </w:rPr>
        <w:t xml:space="preserve">The double-peak phenomenon provides a plausible explanation for the range of onset times for clinical signs/symptoms of toxicity (0.5 to 17 h) observed in the 2008 poisoning incident. </w:t>
      </w:r>
    </w:p>
    <w:p w:rsidR="002B4478" w:rsidRPr="002B4478" w:rsidRDefault="002B4478" w:rsidP="002B4478">
      <w:pPr>
        <w:autoSpaceDE w:val="0"/>
        <w:autoSpaceDN w:val="0"/>
        <w:adjustRightInd w:val="0"/>
        <w:rPr>
          <w:rFonts w:cs="Arial"/>
          <w:highlight w:val="yellow"/>
          <w:lang w:val="en-US" w:bidi="ar-SA"/>
        </w:rPr>
      </w:pPr>
      <w:r w:rsidRPr="00CB2985">
        <w:rPr>
          <w:rFonts w:cs="Arial"/>
          <w:lang w:val="en-US" w:bidi="ar-SA"/>
        </w:rPr>
        <w:t>Th</w:t>
      </w:r>
      <w:r>
        <w:rPr>
          <w:rFonts w:cs="Arial"/>
          <w:lang w:val="en-US" w:bidi="ar-SA"/>
        </w:rPr>
        <w:t>e findings from this</w:t>
      </w:r>
      <w:r w:rsidRPr="00C46C9B">
        <w:rPr>
          <w:rFonts w:cs="Arial"/>
          <w:lang w:val="en-US" w:bidi="ar-SA"/>
        </w:rPr>
        <w:t xml:space="preserve"> </w:t>
      </w:r>
      <w:r>
        <w:rPr>
          <w:rFonts w:cs="Arial"/>
          <w:lang w:val="en-US" w:bidi="ar-SA"/>
        </w:rPr>
        <w:t xml:space="preserve">pharmacokinetic </w:t>
      </w:r>
      <w:r w:rsidRPr="00C46C9B">
        <w:rPr>
          <w:rFonts w:cs="Arial"/>
          <w:lang w:val="en-US" w:bidi="ar-SA"/>
        </w:rPr>
        <w:t>study</w:t>
      </w:r>
      <w:r w:rsidR="009902FE">
        <w:rPr>
          <w:rFonts w:cs="Arial"/>
          <w:lang w:val="en-US" w:bidi="ar-SA"/>
        </w:rPr>
        <w:t>,</w:t>
      </w:r>
      <w:r w:rsidRPr="00C46C9B">
        <w:rPr>
          <w:rFonts w:cs="Arial"/>
          <w:lang w:val="en-US" w:bidi="ar-SA"/>
        </w:rPr>
        <w:t xml:space="preserve"> </w:t>
      </w:r>
      <w:r>
        <w:rPr>
          <w:rFonts w:cs="Arial"/>
          <w:lang w:val="en-US" w:bidi="ar-SA"/>
        </w:rPr>
        <w:t xml:space="preserve">and the subsequent analytical identification of </w:t>
      </w:r>
      <w:r w:rsidR="000F12CD">
        <w:rPr>
          <w:rFonts w:cs="Arial"/>
          <w:lang w:val="en-US" w:bidi="ar-SA"/>
        </w:rPr>
        <w:t>tutin gly</w:t>
      </w:r>
      <w:r>
        <w:rPr>
          <w:rFonts w:cs="Arial"/>
          <w:lang w:val="en-US" w:bidi="ar-SA"/>
        </w:rPr>
        <w:t xml:space="preserve">cosides in honey, </w:t>
      </w:r>
      <w:r w:rsidRPr="00CB2985">
        <w:rPr>
          <w:rFonts w:cs="Arial"/>
          <w:lang w:val="en-US" w:bidi="ar-SA"/>
        </w:rPr>
        <w:t>provide</w:t>
      </w:r>
      <w:r w:rsidRPr="00C46C9B">
        <w:rPr>
          <w:rFonts w:cs="Arial"/>
          <w:lang w:val="en-US" w:bidi="ar-SA"/>
        </w:rPr>
        <w:t xml:space="preserve"> a plausible explanation for the </w:t>
      </w:r>
      <w:r w:rsidR="002416CA">
        <w:rPr>
          <w:rFonts w:cs="Arial"/>
          <w:lang w:val="en-US" w:bidi="ar-SA"/>
        </w:rPr>
        <w:t xml:space="preserve">long </w:t>
      </w:r>
      <w:r w:rsidR="002416CA" w:rsidRPr="00CB2985">
        <w:rPr>
          <w:rFonts w:cs="Arial"/>
          <w:lang w:val="en-US" w:bidi="ar-SA"/>
        </w:rPr>
        <w:t>delay</w:t>
      </w:r>
      <w:r w:rsidR="002416CA">
        <w:rPr>
          <w:rFonts w:cs="Arial"/>
          <w:lang w:val="en-US" w:bidi="ar-SA"/>
        </w:rPr>
        <w:t xml:space="preserve"> in the</w:t>
      </w:r>
      <w:r w:rsidRPr="00C46C9B">
        <w:rPr>
          <w:rFonts w:cs="Arial"/>
          <w:lang w:val="en-US" w:bidi="ar-SA"/>
        </w:rPr>
        <w:t xml:space="preserve"> onset of </w:t>
      </w:r>
      <w:r w:rsidR="00C64211">
        <w:rPr>
          <w:rFonts w:cs="Arial"/>
          <w:lang w:val="en-US" w:bidi="ar-SA"/>
        </w:rPr>
        <w:t xml:space="preserve">severe adverse effects </w:t>
      </w:r>
      <w:r w:rsidRPr="00C46C9B">
        <w:rPr>
          <w:rFonts w:cs="Arial"/>
          <w:lang w:val="en-US" w:bidi="ar-SA"/>
        </w:rPr>
        <w:t xml:space="preserve">following consumption of tutu honeydew honey, namely a </w:t>
      </w:r>
      <w:r w:rsidR="00C64211">
        <w:rPr>
          <w:rFonts w:cs="Arial"/>
          <w:lang w:val="en-US" w:bidi="ar-SA"/>
        </w:rPr>
        <w:t xml:space="preserve">delayed and sustained </w:t>
      </w:r>
      <w:r w:rsidRPr="00C46C9B">
        <w:rPr>
          <w:rFonts w:cs="Arial"/>
          <w:lang w:val="en-US" w:bidi="ar-SA"/>
        </w:rPr>
        <w:t>release of tutin from glycoconjugates</w:t>
      </w:r>
      <w:r w:rsidR="00B06DD9">
        <w:rPr>
          <w:rFonts w:cs="Arial"/>
          <w:lang w:val="en-US" w:bidi="ar-SA"/>
        </w:rPr>
        <w:t xml:space="preserve"> resulting in a </w:t>
      </w:r>
      <w:r w:rsidR="00C64211">
        <w:rPr>
          <w:rFonts w:cs="Arial"/>
          <w:lang w:val="en-US" w:bidi="ar-SA"/>
        </w:rPr>
        <w:t xml:space="preserve">large broad peak in the serum concentration versus time profile with </w:t>
      </w:r>
      <w:r w:rsidR="00B06DD9">
        <w:rPr>
          <w:rFonts w:cs="Arial"/>
          <w:lang w:val="en-US" w:bidi="ar-SA"/>
        </w:rPr>
        <w:t>T</w:t>
      </w:r>
      <w:r w:rsidR="00B06DD9" w:rsidRPr="00C46C9B">
        <w:rPr>
          <w:rFonts w:cs="Arial"/>
          <w:vertAlign w:val="subscript"/>
          <w:lang w:val="en-US" w:bidi="ar-SA"/>
        </w:rPr>
        <w:t>max2</w:t>
      </w:r>
      <w:r w:rsidR="00B06DD9">
        <w:rPr>
          <w:rFonts w:cs="Arial"/>
          <w:lang w:val="en-US" w:bidi="ar-SA"/>
        </w:rPr>
        <w:t xml:space="preserve"> ≥ 12 h</w:t>
      </w:r>
      <w:r w:rsidRPr="00C46C9B">
        <w:rPr>
          <w:rFonts w:cs="Arial"/>
          <w:lang w:val="en-US" w:bidi="ar-SA"/>
        </w:rPr>
        <w:t>. It is currently not known how or where in the gastrointestinal tract these tutin glycoconjugates are hydrolyz</w:t>
      </w:r>
      <w:r w:rsidR="00993C6E" w:rsidRPr="00CB2985">
        <w:rPr>
          <w:rFonts w:cs="Arial"/>
          <w:lang w:val="en-US" w:bidi="ar-SA"/>
        </w:rPr>
        <w:t>ed to release tutin</w:t>
      </w:r>
      <w:r w:rsidR="00993C6E">
        <w:rPr>
          <w:rFonts w:cs="Arial"/>
          <w:lang w:val="en-US" w:bidi="ar-SA"/>
        </w:rPr>
        <w:t xml:space="preserve">, </w:t>
      </w:r>
      <w:r w:rsidRPr="00C46C9B">
        <w:rPr>
          <w:rFonts w:cs="Arial"/>
          <w:lang w:val="en-US" w:bidi="ar-SA"/>
        </w:rPr>
        <w:t>but preliminary studies suggest that microflora in the gastrointestinal tract play only a very minor role in this process</w:t>
      </w:r>
      <w:r>
        <w:rPr>
          <w:rFonts w:cs="Arial"/>
          <w:lang w:val="en-US" w:bidi="ar-SA"/>
        </w:rPr>
        <w:t xml:space="preserve"> (</w:t>
      </w:r>
      <w:r w:rsidR="00BD7C35">
        <w:rPr>
          <w:rFonts w:cs="Arial"/>
          <w:lang w:val="en-US" w:bidi="ar-SA"/>
        </w:rPr>
        <w:t>Appendix 2</w:t>
      </w:r>
      <w:r w:rsidR="007277BF">
        <w:rPr>
          <w:rFonts w:cs="Arial"/>
          <w:lang w:val="en-US" w:bidi="ar-SA"/>
        </w:rPr>
        <w:t>)</w:t>
      </w:r>
      <w:r w:rsidR="00EC2B7C">
        <w:rPr>
          <w:rFonts w:cs="Arial"/>
          <w:lang w:val="en-US" w:bidi="ar-SA"/>
        </w:rPr>
        <w:t>.</w:t>
      </w:r>
      <w:r w:rsidR="00BD7C35">
        <w:rPr>
          <w:rFonts w:cs="Arial"/>
          <w:lang w:val="en-US" w:bidi="ar-SA"/>
        </w:rPr>
        <w:t xml:space="preserve"> </w:t>
      </w:r>
      <w:r w:rsidR="001863C9">
        <w:rPr>
          <w:rFonts w:cs="Arial"/>
          <w:lang w:val="en-US" w:bidi="ar-SA"/>
        </w:rPr>
        <w:t xml:space="preserve">Attempts </w:t>
      </w:r>
      <w:r w:rsidR="00BD7C35">
        <w:rPr>
          <w:rFonts w:cs="Arial"/>
          <w:lang w:val="en-US" w:bidi="ar-SA"/>
        </w:rPr>
        <w:t xml:space="preserve">to release tutin from </w:t>
      </w:r>
      <w:r w:rsidR="000F12CD">
        <w:rPr>
          <w:rFonts w:cs="Arial"/>
          <w:lang w:val="en-US" w:bidi="ar-SA"/>
        </w:rPr>
        <w:t>tutin gly</w:t>
      </w:r>
      <w:r w:rsidR="00BD7C35">
        <w:rPr>
          <w:rFonts w:cs="Arial"/>
          <w:lang w:val="en-US" w:bidi="ar-SA"/>
        </w:rPr>
        <w:t xml:space="preserve">cosides using acid and enzymatic hydrolysis </w:t>
      </w:r>
      <w:r w:rsidR="001863C9">
        <w:rPr>
          <w:rFonts w:cs="Arial"/>
          <w:lang w:val="en-US" w:bidi="ar-SA"/>
        </w:rPr>
        <w:t xml:space="preserve">were </w:t>
      </w:r>
      <w:r w:rsidR="00BD7C35">
        <w:rPr>
          <w:rFonts w:cs="Arial"/>
          <w:lang w:val="en-US" w:bidi="ar-SA"/>
        </w:rPr>
        <w:t>unsuccessful (Appendix 3).</w:t>
      </w:r>
    </w:p>
    <w:p w:rsidR="003764C4" w:rsidRDefault="003764C4" w:rsidP="00550D1E">
      <w:pPr>
        <w:autoSpaceDE w:val="0"/>
        <w:autoSpaceDN w:val="0"/>
        <w:adjustRightInd w:val="0"/>
        <w:rPr>
          <w:rFonts w:cs="Arial"/>
          <w:highlight w:val="yellow"/>
          <w:lang w:bidi="ar-SA"/>
        </w:rPr>
      </w:pPr>
    </w:p>
    <w:p w:rsidR="00F65536" w:rsidRDefault="00D3776E" w:rsidP="00F27AFC">
      <w:pPr>
        <w:widowControl/>
        <w:rPr>
          <w:rFonts w:cs="Arial"/>
        </w:rPr>
      </w:pPr>
      <w:r>
        <w:rPr>
          <w:rFonts w:cs="Arial"/>
        </w:rPr>
        <w:t xml:space="preserve">It is considered that the </w:t>
      </w:r>
      <w:r w:rsidR="00F65536" w:rsidRPr="00F65536">
        <w:rPr>
          <w:rFonts w:cs="Arial"/>
        </w:rPr>
        <w:t>various tutin glycocon</w:t>
      </w:r>
      <w:r>
        <w:rPr>
          <w:rFonts w:cs="Arial"/>
        </w:rPr>
        <w:t>jugates are likely to produce pharmacokinetic</w:t>
      </w:r>
      <w:r w:rsidR="00F65536" w:rsidRPr="00F65536">
        <w:rPr>
          <w:rFonts w:cs="Arial"/>
        </w:rPr>
        <w:t xml:space="preserve"> profiles </w:t>
      </w:r>
      <w:r w:rsidR="002D74DB">
        <w:rPr>
          <w:rFonts w:cs="Arial"/>
        </w:rPr>
        <w:t>similar to</w:t>
      </w:r>
      <w:r>
        <w:rPr>
          <w:rFonts w:cs="Arial"/>
        </w:rPr>
        <w:t xml:space="preserve"> those observed for</w:t>
      </w:r>
      <w:r w:rsidR="00F65536" w:rsidRPr="00F65536">
        <w:rPr>
          <w:rFonts w:cs="Arial"/>
        </w:rPr>
        <w:t xml:space="preserve"> sustained</w:t>
      </w:r>
      <w:r w:rsidR="00F65536">
        <w:rPr>
          <w:rFonts w:cs="Arial"/>
        </w:rPr>
        <w:t xml:space="preserve"> </w:t>
      </w:r>
      <w:r w:rsidR="00F65536" w:rsidRPr="00F65536">
        <w:rPr>
          <w:rFonts w:cs="Arial"/>
        </w:rPr>
        <w:t>release drug formulations</w:t>
      </w:r>
      <w:r>
        <w:rPr>
          <w:rFonts w:cs="Arial"/>
        </w:rPr>
        <w:t>.</w:t>
      </w:r>
      <w:r w:rsidR="00F65536" w:rsidRPr="00F65536">
        <w:rPr>
          <w:rFonts w:cs="Arial"/>
        </w:rPr>
        <w:t xml:space="preserve"> </w:t>
      </w:r>
      <w:r w:rsidR="002D74DB">
        <w:rPr>
          <w:rFonts w:cs="Arial"/>
        </w:rPr>
        <w:t>T</w:t>
      </w:r>
      <w:r w:rsidR="00F65536" w:rsidRPr="00F65536">
        <w:rPr>
          <w:rFonts w:cs="Arial"/>
        </w:rPr>
        <w:t xml:space="preserve">he possibility </w:t>
      </w:r>
      <w:r w:rsidR="00F65536">
        <w:rPr>
          <w:rFonts w:cs="Arial"/>
        </w:rPr>
        <w:t xml:space="preserve">of </w:t>
      </w:r>
      <w:r w:rsidR="00C52DE0">
        <w:rPr>
          <w:rFonts w:cs="Arial"/>
        </w:rPr>
        <w:t>“</w:t>
      </w:r>
      <w:r w:rsidR="00F65536">
        <w:rPr>
          <w:rFonts w:cs="Arial"/>
        </w:rPr>
        <w:t>flip-flop</w:t>
      </w:r>
      <w:r w:rsidR="002D74DB">
        <w:rPr>
          <w:rFonts w:cs="Arial"/>
        </w:rPr>
        <w:t>”</w:t>
      </w:r>
      <w:r w:rsidR="00F65536">
        <w:rPr>
          <w:rFonts w:cs="Arial"/>
        </w:rPr>
        <w:t xml:space="preserve"> kinetics </w:t>
      </w:r>
      <w:r>
        <w:rPr>
          <w:rFonts w:cs="Arial"/>
        </w:rPr>
        <w:t>was</w:t>
      </w:r>
      <w:r w:rsidR="00F65536">
        <w:rPr>
          <w:rFonts w:cs="Arial"/>
        </w:rPr>
        <w:t xml:space="preserve"> </w:t>
      </w:r>
      <w:r w:rsidR="002D74DB">
        <w:rPr>
          <w:rFonts w:cs="Arial"/>
        </w:rPr>
        <w:t xml:space="preserve">therefore </w:t>
      </w:r>
      <w:r w:rsidR="00F65536" w:rsidRPr="00F65536">
        <w:rPr>
          <w:rFonts w:cs="Arial"/>
        </w:rPr>
        <w:t>considered</w:t>
      </w:r>
      <w:r w:rsidR="002D74DB">
        <w:rPr>
          <w:rFonts w:cs="Arial"/>
        </w:rPr>
        <w:t xml:space="preserve">, </w:t>
      </w:r>
      <w:r w:rsidR="004C29FD">
        <w:rPr>
          <w:rFonts w:cs="Arial"/>
        </w:rPr>
        <w:t xml:space="preserve">in which </w:t>
      </w:r>
      <w:r w:rsidR="004C29FD" w:rsidRPr="004C29FD">
        <w:rPr>
          <w:rFonts w:cs="Arial"/>
        </w:rPr>
        <w:t>the rate of absorption is the rate limiting step in the sequential processes of drug absorption and elimination</w:t>
      </w:r>
      <w:r w:rsidR="000312C9">
        <w:rPr>
          <w:rFonts w:cs="Arial"/>
        </w:rPr>
        <w:t xml:space="preserve"> </w:t>
      </w:r>
      <w:r w:rsidR="000312C9" w:rsidRPr="00F65536">
        <w:rPr>
          <w:rFonts w:cs="Arial"/>
        </w:rPr>
        <w:t xml:space="preserve">(Yáñez </w:t>
      </w:r>
      <w:r w:rsidR="000312C9">
        <w:rPr>
          <w:rFonts w:cs="Arial"/>
        </w:rPr>
        <w:t>et al 2011)</w:t>
      </w:r>
      <w:r w:rsidR="004C29FD" w:rsidRPr="004C29FD">
        <w:rPr>
          <w:rFonts w:cs="Arial"/>
        </w:rPr>
        <w:t>.</w:t>
      </w:r>
      <w:r w:rsidR="004C29FD">
        <w:rPr>
          <w:rFonts w:cs="Arial"/>
        </w:rPr>
        <w:t xml:space="preserve"> </w:t>
      </w:r>
      <w:r w:rsidR="00CD46A3">
        <w:rPr>
          <w:rFonts w:cs="Arial"/>
        </w:rPr>
        <w:t xml:space="preserve">Under flip-flop conditions the terminal phase </w:t>
      </w:r>
      <w:r w:rsidR="00CD46A3" w:rsidRPr="00AD6BFE">
        <w:rPr>
          <w:rFonts w:cs="Arial"/>
        </w:rPr>
        <w:t xml:space="preserve">of </w:t>
      </w:r>
      <w:r w:rsidR="00CD46A3">
        <w:rPr>
          <w:rFonts w:cs="Arial"/>
        </w:rPr>
        <w:t xml:space="preserve">a concentration-time curve </w:t>
      </w:r>
      <w:r w:rsidR="00CD46A3" w:rsidRPr="00AD6BFE">
        <w:rPr>
          <w:rFonts w:cs="Arial"/>
        </w:rPr>
        <w:t>reflects the absorption process and</w:t>
      </w:r>
      <w:r w:rsidR="00CD46A3">
        <w:rPr>
          <w:rFonts w:cs="Arial"/>
        </w:rPr>
        <w:t xml:space="preserve"> not, as is usually the case,</w:t>
      </w:r>
      <w:r w:rsidR="00CD46A3" w:rsidRPr="00AD6BFE">
        <w:rPr>
          <w:rFonts w:cs="Arial"/>
        </w:rPr>
        <w:t xml:space="preserve"> the elimination of the </w:t>
      </w:r>
      <w:r w:rsidR="00CD46A3">
        <w:rPr>
          <w:rFonts w:cs="Arial"/>
        </w:rPr>
        <w:t>drug</w:t>
      </w:r>
      <w:r w:rsidR="003D4A73">
        <w:rPr>
          <w:rFonts w:cs="Arial"/>
        </w:rPr>
        <w:t xml:space="preserve">. </w:t>
      </w:r>
      <w:r w:rsidR="00F65536" w:rsidRPr="00F65536">
        <w:rPr>
          <w:rFonts w:cs="Arial"/>
        </w:rPr>
        <w:t xml:space="preserve">To </w:t>
      </w:r>
      <w:r w:rsidR="00F65536" w:rsidRPr="00F65536">
        <w:rPr>
          <w:rFonts w:cs="Arial"/>
        </w:rPr>
        <w:lastRenderedPageBreak/>
        <w:t>convincingly demonstrate</w:t>
      </w:r>
      <w:r w:rsidR="00F65536">
        <w:rPr>
          <w:rFonts w:cs="Arial"/>
        </w:rPr>
        <w:t xml:space="preserve"> </w:t>
      </w:r>
      <w:r>
        <w:rPr>
          <w:rFonts w:cs="Arial"/>
        </w:rPr>
        <w:t xml:space="preserve">flip-flop kinetics, the </w:t>
      </w:r>
      <w:r w:rsidR="004C29FD">
        <w:rPr>
          <w:rFonts w:cs="Arial"/>
        </w:rPr>
        <w:t>elimination rate (</w:t>
      </w:r>
      <w:r>
        <w:rPr>
          <w:rFonts w:cs="Arial"/>
        </w:rPr>
        <w:t>k</w:t>
      </w:r>
      <w:r w:rsidRPr="00A80015">
        <w:rPr>
          <w:rFonts w:cs="Arial"/>
          <w:vertAlign w:val="subscript"/>
        </w:rPr>
        <w:t>e</w:t>
      </w:r>
      <w:r w:rsidR="004C29FD">
        <w:rPr>
          <w:rFonts w:cs="Arial"/>
        </w:rPr>
        <w:t xml:space="preserve">) </w:t>
      </w:r>
      <w:r w:rsidR="00F65536" w:rsidRPr="00F65536">
        <w:rPr>
          <w:rFonts w:cs="Arial"/>
        </w:rPr>
        <w:t xml:space="preserve">calculated from intravenous </w:t>
      </w:r>
      <w:r w:rsidR="00484A55">
        <w:rPr>
          <w:rFonts w:cs="Arial"/>
        </w:rPr>
        <w:t xml:space="preserve">(IV) </w:t>
      </w:r>
      <w:r w:rsidR="00F65536" w:rsidRPr="00F65536">
        <w:rPr>
          <w:rFonts w:cs="Arial"/>
        </w:rPr>
        <w:t>dosing should ideally be compared with</w:t>
      </w:r>
      <w:r w:rsidR="00F65536">
        <w:rPr>
          <w:rFonts w:cs="Arial"/>
        </w:rPr>
        <w:t xml:space="preserve"> </w:t>
      </w:r>
      <w:r>
        <w:rPr>
          <w:rFonts w:cs="Arial"/>
        </w:rPr>
        <w:t>the k</w:t>
      </w:r>
      <w:r w:rsidRPr="00A80015">
        <w:rPr>
          <w:rFonts w:cs="Arial"/>
          <w:vertAlign w:val="subscript"/>
        </w:rPr>
        <w:t>e</w:t>
      </w:r>
      <w:r w:rsidR="00F65536" w:rsidRPr="00F65536">
        <w:rPr>
          <w:rFonts w:cs="Arial"/>
        </w:rPr>
        <w:t xml:space="preserve"> following oral dosing. Although </w:t>
      </w:r>
      <w:r w:rsidR="00C52DE0">
        <w:rPr>
          <w:rFonts w:cs="Arial"/>
        </w:rPr>
        <w:t>there are no</w:t>
      </w:r>
      <w:r w:rsidR="00F65536" w:rsidRPr="00F65536">
        <w:rPr>
          <w:rFonts w:cs="Arial"/>
        </w:rPr>
        <w:t xml:space="preserve"> kinetic data </w:t>
      </w:r>
      <w:r w:rsidR="00C52DE0">
        <w:rPr>
          <w:rFonts w:cs="Arial"/>
        </w:rPr>
        <w:t xml:space="preserve">for tutin or tutin glycoconjugates </w:t>
      </w:r>
      <w:r w:rsidR="00484A55">
        <w:rPr>
          <w:rFonts w:cs="Arial"/>
        </w:rPr>
        <w:t>following IV</w:t>
      </w:r>
      <w:r w:rsidR="00F65536">
        <w:rPr>
          <w:rFonts w:cs="Arial"/>
        </w:rPr>
        <w:t xml:space="preserve"> </w:t>
      </w:r>
      <w:r w:rsidR="00F65536" w:rsidRPr="00F65536">
        <w:rPr>
          <w:rFonts w:cs="Arial"/>
        </w:rPr>
        <w:t>dosing</w:t>
      </w:r>
      <w:r w:rsidR="00A676E5">
        <w:rPr>
          <w:rFonts w:cs="Arial"/>
        </w:rPr>
        <w:t>,</w:t>
      </w:r>
      <w:r w:rsidR="00F65536" w:rsidRPr="00F65536">
        <w:rPr>
          <w:rFonts w:cs="Arial"/>
        </w:rPr>
        <w:t xml:space="preserve"> </w:t>
      </w:r>
      <w:r w:rsidR="00A676E5" w:rsidRPr="00F65536">
        <w:rPr>
          <w:rFonts w:cs="Arial"/>
        </w:rPr>
        <w:t xml:space="preserve">visual inspection of </w:t>
      </w:r>
      <w:r w:rsidR="00A676E5" w:rsidRPr="00A80015">
        <w:rPr>
          <w:rFonts w:cs="Arial"/>
        </w:rPr>
        <w:t xml:space="preserve">Figure </w:t>
      </w:r>
      <w:r w:rsidR="00A676E5">
        <w:rPr>
          <w:rFonts w:cs="Arial"/>
        </w:rPr>
        <w:t>3</w:t>
      </w:r>
      <w:r w:rsidR="00A676E5" w:rsidRPr="00F65536">
        <w:rPr>
          <w:rFonts w:cs="Arial"/>
        </w:rPr>
        <w:t xml:space="preserve"> suggests</w:t>
      </w:r>
      <w:r w:rsidR="00A676E5">
        <w:rPr>
          <w:rFonts w:cs="Arial"/>
        </w:rPr>
        <w:t xml:space="preserve"> that </w:t>
      </w:r>
      <w:r w:rsidR="00CC40AB">
        <w:rPr>
          <w:rFonts w:cs="Arial"/>
        </w:rPr>
        <w:t xml:space="preserve">the </w:t>
      </w:r>
      <w:r w:rsidR="00C70D6F">
        <w:rPr>
          <w:rFonts w:cs="Arial"/>
        </w:rPr>
        <w:t>decline</w:t>
      </w:r>
      <w:r w:rsidR="00CC40AB">
        <w:rPr>
          <w:rFonts w:cs="Arial"/>
        </w:rPr>
        <w:t xml:space="preserve"> </w:t>
      </w:r>
      <w:r w:rsidR="00AC5AE0">
        <w:rPr>
          <w:rFonts w:cs="Arial"/>
        </w:rPr>
        <w:t>curves following</w:t>
      </w:r>
      <w:r w:rsidR="00A676E5" w:rsidRPr="00F65536">
        <w:rPr>
          <w:rFonts w:cs="Arial"/>
        </w:rPr>
        <w:t xml:space="preserve"> peaks </w:t>
      </w:r>
      <w:r w:rsidR="00CC40AB">
        <w:rPr>
          <w:rFonts w:cs="Arial"/>
        </w:rPr>
        <w:t>1 and 2 differ</w:t>
      </w:r>
      <w:r w:rsidR="00A676E5" w:rsidRPr="00F65536">
        <w:rPr>
          <w:rFonts w:cs="Arial"/>
        </w:rPr>
        <w:t xml:space="preserve"> sufficiently to indicate </w:t>
      </w:r>
      <w:r w:rsidR="00CC40AB">
        <w:rPr>
          <w:rFonts w:cs="Arial"/>
        </w:rPr>
        <w:t xml:space="preserve">that </w:t>
      </w:r>
      <w:r w:rsidR="00A676E5" w:rsidRPr="00F65536">
        <w:rPr>
          <w:rFonts w:cs="Arial"/>
        </w:rPr>
        <w:t>flip-flop kinetics</w:t>
      </w:r>
      <w:r w:rsidR="00A676E5">
        <w:rPr>
          <w:rFonts w:cs="Arial"/>
        </w:rPr>
        <w:t xml:space="preserve"> </w:t>
      </w:r>
      <w:r w:rsidR="00A676E5" w:rsidRPr="00F65536">
        <w:rPr>
          <w:rFonts w:cs="Arial"/>
        </w:rPr>
        <w:t>may be occurring</w:t>
      </w:r>
      <w:r w:rsidR="00CC40AB">
        <w:rPr>
          <w:rFonts w:cs="Arial"/>
        </w:rPr>
        <w:t>.</w:t>
      </w:r>
      <w:r w:rsidR="00567370">
        <w:rPr>
          <w:rFonts w:cs="Arial"/>
        </w:rPr>
        <w:t xml:space="preserve"> </w:t>
      </w:r>
      <w:r w:rsidR="00F65536" w:rsidRPr="00F65536">
        <w:rPr>
          <w:rFonts w:cs="Arial"/>
        </w:rPr>
        <w:t xml:space="preserve">This contention is supported by the </w:t>
      </w:r>
      <w:r w:rsidR="00E62AF7">
        <w:rPr>
          <w:rFonts w:cs="Arial"/>
        </w:rPr>
        <w:t xml:space="preserve">parameters derived from the two-site absorption model </w:t>
      </w:r>
      <w:r w:rsidR="00F65536" w:rsidRPr="00F65536">
        <w:rPr>
          <w:rFonts w:cs="Arial"/>
        </w:rPr>
        <w:t>which show that</w:t>
      </w:r>
      <w:r w:rsidR="00F65536">
        <w:rPr>
          <w:rFonts w:cs="Arial"/>
        </w:rPr>
        <w:t xml:space="preserve"> </w:t>
      </w:r>
      <w:r>
        <w:rPr>
          <w:rFonts w:cs="Arial"/>
        </w:rPr>
        <w:t>k</w:t>
      </w:r>
      <w:r w:rsidRPr="00A80015">
        <w:rPr>
          <w:rFonts w:cs="Arial"/>
          <w:vertAlign w:val="subscript"/>
        </w:rPr>
        <w:t>e</w:t>
      </w:r>
      <w:r w:rsidR="00A676E5">
        <w:rPr>
          <w:rFonts w:cs="Arial"/>
        </w:rPr>
        <w:t xml:space="preserve"> is </w:t>
      </w:r>
      <w:r w:rsidR="00567370">
        <w:rPr>
          <w:rFonts w:cs="Arial"/>
        </w:rPr>
        <w:t>a</w:t>
      </w:r>
      <w:r w:rsidR="00A676E5">
        <w:rPr>
          <w:rFonts w:cs="Arial"/>
        </w:rPr>
        <w:t>pproximately twice the value of</w:t>
      </w:r>
      <w:r>
        <w:rPr>
          <w:rFonts w:cs="Arial"/>
        </w:rPr>
        <w:t xml:space="preserve"> k</w:t>
      </w:r>
      <w:r w:rsidRPr="00A80015">
        <w:rPr>
          <w:rFonts w:cs="Arial"/>
          <w:vertAlign w:val="subscript"/>
        </w:rPr>
        <w:t>a2</w:t>
      </w:r>
      <w:r w:rsidR="00A676E5">
        <w:rPr>
          <w:rFonts w:cs="Arial"/>
        </w:rPr>
        <w:t xml:space="preserve"> (Table 2</w:t>
      </w:r>
      <w:r>
        <w:rPr>
          <w:rFonts w:cs="Arial"/>
        </w:rPr>
        <w:t>).</w:t>
      </w:r>
      <w:r w:rsidR="005F12F6" w:rsidRPr="005F12F6">
        <w:t xml:space="preserve"> </w:t>
      </w:r>
      <w:r w:rsidR="005F12F6">
        <w:rPr>
          <w:rFonts w:cs="Arial"/>
        </w:rPr>
        <w:t>T</w:t>
      </w:r>
      <w:r w:rsidR="005F12F6" w:rsidRPr="005F12F6">
        <w:rPr>
          <w:rFonts w:cs="Arial"/>
        </w:rPr>
        <w:t xml:space="preserve">he prolonged apparent half-life of tutin in serum observed in the pharmacokinetic study is </w:t>
      </w:r>
      <w:r w:rsidR="005F12F6">
        <w:rPr>
          <w:rFonts w:cs="Arial"/>
        </w:rPr>
        <w:t xml:space="preserve">therefore </w:t>
      </w:r>
      <w:r w:rsidR="005F12F6" w:rsidRPr="005F12F6">
        <w:rPr>
          <w:rFonts w:cs="Arial"/>
        </w:rPr>
        <w:t>consistent with the slow release of tutin from tutin glycosides in the gastrointestinal tract, not because of intrinsically slow systemic elimination</w:t>
      </w:r>
      <w:r w:rsidR="005F12F6">
        <w:rPr>
          <w:rFonts w:cs="Arial"/>
        </w:rPr>
        <w:t xml:space="preserve"> of tutin.</w:t>
      </w:r>
    </w:p>
    <w:p w:rsidR="00C70D6F" w:rsidRDefault="00C70D6F" w:rsidP="00F27AFC">
      <w:pPr>
        <w:widowControl/>
        <w:rPr>
          <w:rFonts w:cs="Arial"/>
        </w:rPr>
      </w:pPr>
    </w:p>
    <w:p w:rsidR="00F27AFC" w:rsidRDefault="00F27AFC" w:rsidP="00F27AFC">
      <w:pPr>
        <w:widowControl/>
        <w:rPr>
          <w:rFonts w:cs="Arial"/>
        </w:rPr>
      </w:pPr>
      <w:r>
        <w:rPr>
          <w:rFonts w:cs="Arial"/>
        </w:rPr>
        <w:t>Safety information obtained from this pharmacokinetic study is described in Section 2.2.9.</w:t>
      </w:r>
    </w:p>
    <w:p w:rsidR="00A128B3" w:rsidRPr="00A128B3" w:rsidRDefault="00885031" w:rsidP="00BC4D1D">
      <w:pPr>
        <w:pStyle w:val="Heading3"/>
      </w:pPr>
      <w:bookmarkStart w:id="25" w:name="_Toc360028608"/>
      <w:bookmarkStart w:id="26" w:name="_Toc401143919"/>
      <w:r>
        <w:t>2</w:t>
      </w:r>
      <w:r w:rsidR="00A128B3" w:rsidRPr="00A128B3">
        <w:t>.2.3</w:t>
      </w:r>
      <w:r w:rsidR="00A128B3" w:rsidRPr="00A128B3">
        <w:tab/>
        <w:t xml:space="preserve">Acute </w:t>
      </w:r>
      <w:r w:rsidR="00307A70">
        <w:t>t</w:t>
      </w:r>
      <w:r w:rsidR="00A128B3" w:rsidRPr="00A128B3">
        <w:t>oxicity</w:t>
      </w:r>
      <w:bookmarkEnd w:id="25"/>
      <w:bookmarkEnd w:id="26"/>
    </w:p>
    <w:p w:rsidR="00923403" w:rsidRPr="00923403" w:rsidRDefault="00C93CF4" w:rsidP="00923403">
      <w:pPr>
        <w:widowControl/>
        <w:rPr>
          <w:rFonts w:cs="Arial"/>
          <w:b/>
          <w:lang w:bidi="ar-SA"/>
        </w:rPr>
      </w:pPr>
      <w:r>
        <w:rPr>
          <w:rFonts w:cs="Arial"/>
          <w:lang w:bidi="ar-SA"/>
        </w:rPr>
        <w:t>Published</w:t>
      </w:r>
      <w:r w:rsidR="00923403" w:rsidRPr="00923403">
        <w:rPr>
          <w:rFonts w:cs="Arial"/>
          <w:lang w:bidi="ar-SA"/>
        </w:rPr>
        <w:t xml:space="preserve"> acute toxicity studies </w:t>
      </w:r>
      <w:r>
        <w:rPr>
          <w:rFonts w:cs="Arial"/>
          <w:lang w:bidi="ar-SA"/>
        </w:rPr>
        <w:t xml:space="preserve">are available for </w:t>
      </w:r>
      <w:r w:rsidR="00923403" w:rsidRPr="00923403">
        <w:rPr>
          <w:rFonts w:cs="Arial"/>
          <w:lang w:bidi="ar-SA"/>
        </w:rPr>
        <w:t>a number of animal species using various routes of administration. Results from th</w:t>
      </w:r>
      <w:r w:rsidR="006D2D01">
        <w:rPr>
          <w:rFonts w:cs="Arial"/>
          <w:lang w:bidi="ar-SA"/>
        </w:rPr>
        <w:t>ese studies are shown in Table 3</w:t>
      </w:r>
      <w:r w:rsidR="00923403" w:rsidRPr="00923403">
        <w:rPr>
          <w:rFonts w:cs="Arial"/>
          <w:lang w:bidi="ar-SA"/>
        </w:rPr>
        <w:t>. These studies are of limited value due to the uncertain impurity profile of the administered tutin. Palmer-Jones (1947b) reported an oral (gavage) LD</w:t>
      </w:r>
      <w:r w:rsidR="00923403" w:rsidRPr="00923403">
        <w:rPr>
          <w:rFonts w:cs="Arial"/>
          <w:vertAlign w:val="subscript"/>
          <w:lang w:bidi="ar-SA"/>
        </w:rPr>
        <w:t>50</w:t>
      </w:r>
      <w:r w:rsidR="00923403" w:rsidRPr="00923403">
        <w:rPr>
          <w:rFonts w:cs="Arial"/>
          <w:lang w:bidi="ar-SA"/>
        </w:rPr>
        <w:t xml:space="preserve"> for rats of 20 mg/kg. Tutin was more acutely toxic when administered by the subcutaneous (SC) and intraperitoneal (IP) routes which gave LD</w:t>
      </w:r>
      <w:r w:rsidR="00923403" w:rsidRPr="00923403">
        <w:rPr>
          <w:rFonts w:cs="Arial"/>
          <w:vertAlign w:val="subscript"/>
          <w:lang w:bidi="ar-SA"/>
        </w:rPr>
        <w:t>50</w:t>
      </w:r>
      <w:r w:rsidR="00923403" w:rsidRPr="00923403">
        <w:rPr>
          <w:rFonts w:cs="Arial"/>
          <w:lang w:bidi="ar-SA"/>
        </w:rPr>
        <w:t xml:space="preserve"> values of approximately 4 and 5 mg/kg bw, respectively. No other oral LD</w:t>
      </w:r>
      <w:r w:rsidR="00923403" w:rsidRPr="00923403">
        <w:rPr>
          <w:rFonts w:cs="Arial"/>
          <w:vertAlign w:val="subscript"/>
          <w:lang w:bidi="ar-SA"/>
        </w:rPr>
        <w:t>50</w:t>
      </w:r>
      <w:r w:rsidR="00923403" w:rsidRPr="00923403">
        <w:rPr>
          <w:rFonts w:cs="Arial"/>
          <w:lang w:bidi="ar-SA"/>
        </w:rPr>
        <w:t xml:space="preserve"> data are available. Palmer-Jones (1947b) reported LD</w:t>
      </w:r>
      <w:r w:rsidR="00923403" w:rsidRPr="00923403">
        <w:rPr>
          <w:rFonts w:cs="Arial"/>
          <w:vertAlign w:val="subscript"/>
          <w:lang w:bidi="ar-SA"/>
        </w:rPr>
        <w:t>75</w:t>
      </w:r>
      <w:r w:rsidR="00923403" w:rsidRPr="00923403">
        <w:rPr>
          <w:rFonts w:cs="Arial"/>
          <w:lang w:bidi="ar-SA"/>
        </w:rPr>
        <w:t xml:space="preserve"> values for guinea pigs of 1.2 mg/kg bw (gavage) and 0.75 mg/kg bw (SC). For rabbits, minimal lethal doses of 1.</w:t>
      </w:r>
      <w:r w:rsidR="00075B75">
        <w:rPr>
          <w:rFonts w:cs="Arial"/>
          <w:lang w:bidi="ar-SA"/>
        </w:rPr>
        <w:t xml:space="preserve">25 mg/kg bw (IV), 1.5-2.5 mg/kg </w:t>
      </w:r>
      <w:r w:rsidR="00923403" w:rsidRPr="00923403">
        <w:rPr>
          <w:rFonts w:cs="Arial"/>
          <w:lang w:bidi="ar-SA"/>
        </w:rPr>
        <w:t>bw (SC) and approximately 6 mg/kg bw (oral gavage) were reported.</w:t>
      </w:r>
    </w:p>
    <w:p w:rsidR="00923403" w:rsidRPr="00923403" w:rsidRDefault="00923403" w:rsidP="00923403">
      <w:pPr>
        <w:widowControl/>
        <w:rPr>
          <w:rFonts w:cs="Arial"/>
          <w:b/>
          <w:lang w:bidi="ar-SA"/>
        </w:rPr>
      </w:pPr>
    </w:p>
    <w:p w:rsidR="00923403" w:rsidRPr="00923403" w:rsidRDefault="006D2D01" w:rsidP="00923403">
      <w:pPr>
        <w:widowControl/>
        <w:rPr>
          <w:rFonts w:cs="Arial"/>
          <w:b/>
          <w:lang w:bidi="ar-SA"/>
        </w:rPr>
      </w:pPr>
      <w:r>
        <w:rPr>
          <w:rFonts w:cs="Arial"/>
          <w:b/>
          <w:lang w:bidi="ar-SA"/>
        </w:rPr>
        <w:t>Table 3</w:t>
      </w:r>
      <w:r w:rsidR="00923403" w:rsidRPr="00923403">
        <w:rPr>
          <w:rFonts w:cs="Arial"/>
          <w:b/>
          <w:lang w:bidi="ar-SA"/>
        </w:rPr>
        <w:t>: Acute toxicity of tutin - results from published studies</w:t>
      </w:r>
      <w:r w:rsidR="00F563B5" w:rsidRPr="00C46C9B">
        <w:rPr>
          <w:rFonts w:cs="Arial"/>
          <w:b/>
          <w:sz w:val="4"/>
          <w:szCs w:val="4"/>
          <w:lang w:bidi="ar-SA"/>
        </w:rPr>
        <w:t xml:space="preserve"> </w:t>
      </w:r>
      <w:r w:rsidR="00F563B5" w:rsidRPr="00C46C9B">
        <w:rPr>
          <w:rFonts w:cs="Arial"/>
          <w:b/>
          <w:vertAlign w:val="superscript"/>
          <w:lang w:bidi="ar-SA"/>
        </w:rPr>
        <w:t>†</w:t>
      </w:r>
    </w:p>
    <w:p w:rsidR="00923403" w:rsidRPr="00923403" w:rsidRDefault="00923403" w:rsidP="00923403">
      <w:pPr>
        <w:widowControl/>
        <w:rPr>
          <w:rFonts w:cs="Arial"/>
          <w:b/>
          <w:sz w:val="4"/>
          <w:szCs w:val="4"/>
          <w:lang w:bidi="ar-SA"/>
        </w:rPr>
      </w:pPr>
    </w:p>
    <w:p w:rsidR="00923403" w:rsidRPr="00923403" w:rsidRDefault="00923403" w:rsidP="00923403">
      <w:pPr>
        <w:widowControl/>
        <w:rPr>
          <w:rFonts w:cs="Arial"/>
          <w:sz w:val="8"/>
          <w:szCs w:val="8"/>
          <w:lang w:bidi="ar-SA"/>
        </w:rPr>
      </w:pPr>
    </w:p>
    <w:tbl>
      <w:tblPr>
        <w:tblStyle w:val="TableGrid2"/>
        <w:tblW w:w="0" w:type="auto"/>
        <w:tblLook w:val="04A0" w:firstRow="1" w:lastRow="0" w:firstColumn="1" w:lastColumn="0" w:noHBand="0" w:noVBand="1"/>
      </w:tblPr>
      <w:tblGrid>
        <w:gridCol w:w="1242"/>
        <w:gridCol w:w="1843"/>
        <w:gridCol w:w="1418"/>
        <w:gridCol w:w="1842"/>
        <w:gridCol w:w="2471"/>
      </w:tblGrid>
      <w:tr w:rsidR="00923403" w:rsidRPr="00923403" w:rsidTr="00923403">
        <w:trPr>
          <w:trHeight w:val="300"/>
        </w:trPr>
        <w:tc>
          <w:tcPr>
            <w:tcW w:w="1242" w:type="dxa"/>
            <w:tcBorders>
              <w:top w:val="single" w:sz="4" w:space="0" w:color="auto"/>
              <w:left w:val="single" w:sz="4" w:space="0" w:color="auto"/>
              <w:bottom w:val="single" w:sz="4" w:space="0" w:color="auto"/>
              <w:right w:val="nil"/>
            </w:tcBorders>
            <w:noWrap/>
            <w:hideMark/>
          </w:tcPr>
          <w:p w:rsidR="00923403" w:rsidRPr="00923403" w:rsidRDefault="00923403" w:rsidP="00C46C9B">
            <w:pPr>
              <w:widowControl/>
              <w:spacing w:before="20" w:after="20"/>
              <w:rPr>
                <w:rFonts w:eastAsia="Times New Roman" w:cs="Arial"/>
                <w:b/>
                <w:sz w:val="20"/>
                <w:szCs w:val="20"/>
                <w:lang w:bidi="ar-SA"/>
              </w:rPr>
            </w:pPr>
            <w:r w:rsidRPr="00923403">
              <w:rPr>
                <w:rFonts w:cs="Arial"/>
                <w:b/>
                <w:sz w:val="20"/>
                <w:szCs w:val="20"/>
                <w:lang w:bidi="ar-SA"/>
              </w:rPr>
              <w:t>Species</w:t>
            </w:r>
          </w:p>
        </w:tc>
        <w:tc>
          <w:tcPr>
            <w:tcW w:w="1843" w:type="dxa"/>
            <w:tcBorders>
              <w:top w:val="single" w:sz="4" w:space="0" w:color="auto"/>
              <w:left w:val="nil"/>
              <w:bottom w:val="single" w:sz="4" w:space="0" w:color="auto"/>
              <w:right w:val="nil"/>
            </w:tcBorders>
            <w:noWrap/>
            <w:hideMark/>
          </w:tcPr>
          <w:p w:rsidR="00923403" w:rsidRPr="00923403" w:rsidRDefault="00923403" w:rsidP="00C46C9B">
            <w:pPr>
              <w:widowControl/>
              <w:spacing w:before="20" w:after="20"/>
              <w:rPr>
                <w:rFonts w:eastAsia="Times New Roman" w:cs="Arial"/>
                <w:b/>
                <w:sz w:val="20"/>
                <w:szCs w:val="20"/>
                <w:lang w:bidi="ar-SA"/>
              </w:rPr>
            </w:pPr>
            <w:r w:rsidRPr="00923403">
              <w:rPr>
                <w:rFonts w:cs="Arial"/>
                <w:b/>
                <w:sz w:val="20"/>
                <w:szCs w:val="20"/>
                <w:lang w:bidi="ar-SA"/>
              </w:rPr>
              <w:t>Route</w:t>
            </w:r>
          </w:p>
        </w:tc>
        <w:tc>
          <w:tcPr>
            <w:tcW w:w="1418" w:type="dxa"/>
            <w:tcBorders>
              <w:top w:val="single" w:sz="4" w:space="0" w:color="auto"/>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b/>
                <w:sz w:val="20"/>
                <w:szCs w:val="20"/>
                <w:lang w:bidi="ar-SA"/>
              </w:rPr>
            </w:pPr>
            <w:r w:rsidRPr="00923403">
              <w:rPr>
                <w:rFonts w:cs="Arial"/>
                <w:b/>
                <w:sz w:val="20"/>
                <w:szCs w:val="20"/>
                <w:lang w:bidi="ar-SA"/>
              </w:rPr>
              <w:t>Parameter</w:t>
            </w:r>
          </w:p>
        </w:tc>
        <w:tc>
          <w:tcPr>
            <w:tcW w:w="1842" w:type="dxa"/>
            <w:tcBorders>
              <w:top w:val="single" w:sz="4" w:space="0" w:color="auto"/>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b/>
                <w:sz w:val="20"/>
                <w:szCs w:val="20"/>
                <w:lang w:bidi="ar-SA"/>
              </w:rPr>
            </w:pPr>
            <w:r w:rsidRPr="00923403">
              <w:rPr>
                <w:rFonts w:cs="Arial"/>
                <w:b/>
                <w:sz w:val="20"/>
                <w:szCs w:val="20"/>
                <w:lang w:bidi="ar-SA"/>
              </w:rPr>
              <w:t xml:space="preserve">Value </w:t>
            </w:r>
          </w:p>
          <w:p w:rsidR="00923403" w:rsidRPr="00923403" w:rsidRDefault="00923403" w:rsidP="00C46C9B">
            <w:pPr>
              <w:widowControl/>
              <w:spacing w:before="20" w:after="20"/>
              <w:jc w:val="center"/>
              <w:rPr>
                <w:rFonts w:eastAsia="Times New Roman" w:cs="Arial"/>
                <w:b/>
                <w:sz w:val="20"/>
                <w:szCs w:val="20"/>
                <w:lang w:bidi="ar-SA"/>
              </w:rPr>
            </w:pPr>
            <w:r w:rsidRPr="00923403">
              <w:rPr>
                <w:rFonts w:cs="Arial"/>
                <w:b/>
                <w:sz w:val="20"/>
                <w:szCs w:val="20"/>
                <w:lang w:bidi="ar-SA"/>
              </w:rPr>
              <w:t>(mg/kg bw)</w:t>
            </w:r>
          </w:p>
        </w:tc>
        <w:tc>
          <w:tcPr>
            <w:tcW w:w="2471" w:type="dxa"/>
            <w:tcBorders>
              <w:top w:val="single" w:sz="4" w:space="0" w:color="auto"/>
              <w:left w:val="nil"/>
              <w:bottom w:val="single" w:sz="4" w:space="0" w:color="auto"/>
              <w:right w:val="single" w:sz="4" w:space="0" w:color="auto"/>
            </w:tcBorders>
            <w:noWrap/>
            <w:hideMark/>
          </w:tcPr>
          <w:p w:rsidR="00923403" w:rsidRPr="00923403" w:rsidRDefault="00923403" w:rsidP="00C46C9B">
            <w:pPr>
              <w:widowControl/>
              <w:spacing w:before="20" w:after="20"/>
              <w:jc w:val="center"/>
              <w:rPr>
                <w:rFonts w:eastAsia="Times New Roman" w:cs="Arial"/>
                <w:b/>
                <w:sz w:val="20"/>
                <w:szCs w:val="20"/>
                <w:lang w:bidi="ar-SA"/>
              </w:rPr>
            </w:pPr>
            <w:r w:rsidRPr="00923403">
              <w:rPr>
                <w:rFonts w:cs="Arial"/>
                <w:b/>
                <w:sz w:val="20"/>
                <w:szCs w:val="20"/>
                <w:lang w:bidi="ar-SA"/>
              </w:rPr>
              <w:t>Reference</w:t>
            </w:r>
          </w:p>
        </w:tc>
      </w:tr>
      <w:tr w:rsidR="00923403" w:rsidRPr="00923403" w:rsidTr="00923403">
        <w:trPr>
          <w:trHeight w:val="300"/>
        </w:trPr>
        <w:tc>
          <w:tcPr>
            <w:tcW w:w="1242" w:type="dxa"/>
            <w:tcBorders>
              <w:top w:val="single" w:sz="4" w:space="0" w:color="auto"/>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single" w:sz="4" w:space="0" w:color="auto"/>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Intracerebral</w:t>
            </w:r>
          </w:p>
        </w:tc>
        <w:tc>
          <w:tcPr>
            <w:tcW w:w="1418"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50</w:t>
            </w:r>
          </w:p>
        </w:tc>
        <w:tc>
          <w:tcPr>
            <w:tcW w:w="1842"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0.014</w:t>
            </w:r>
          </w:p>
        </w:tc>
        <w:tc>
          <w:tcPr>
            <w:tcW w:w="2471" w:type="dxa"/>
            <w:tcBorders>
              <w:top w:val="single" w:sz="4" w:space="0" w:color="auto"/>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Swallow et al 1989</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Mouse</w:t>
            </w: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Intracerebral</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50</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0.01</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Clinch 1966</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4</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Swanson 1940</w:t>
            </w:r>
          </w:p>
        </w:tc>
      </w:tr>
      <w:tr w:rsidR="00923403" w:rsidRPr="00923403" w:rsidTr="00923403">
        <w:trPr>
          <w:trHeight w:val="300"/>
        </w:trPr>
        <w:tc>
          <w:tcPr>
            <w:tcW w:w="1242" w:type="dxa"/>
            <w:tcBorders>
              <w:top w:val="nil"/>
              <w:left w:val="single" w:sz="4" w:space="0" w:color="auto"/>
              <w:bottom w:val="single" w:sz="4" w:space="0" w:color="auto"/>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single" w:sz="4" w:space="0" w:color="auto"/>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Intraperitoneal</w:t>
            </w:r>
          </w:p>
        </w:tc>
        <w:tc>
          <w:tcPr>
            <w:tcW w:w="1418"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50</w:t>
            </w:r>
          </w:p>
        </w:tc>
        <w:tc>
          <w:tcPr>
            <w:tcW w:w="1842"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3</w:t>
            </w:r>
          </w:p>
        </w:tc>
        <w:tc>
          <w:tcPr>
            <w:tcW w:w="2471" w:type="dxa"/>
            <w:tcBorders>
              <w:top w:val="nil"/>
              <w:left w:val="nil"/>
              <w:bottom w:val="single" w:sz="4" w:space="0" w:color="auto"/>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Jarboe et al 1968</w:t>
            </w:r>
          </w:p>
        </w:tc>
      </w:tr>
      <w:tr w:rsidR="00923403" w:rsidRPr="00923403" w:rsidTr="00923403">
        <w:trPr>
          <w:trHeight w:val="300"/>
        </w:trPr>
        <w:tc>
          <w:tcPr>
            <w:tcW w:w="1242" w:type="dxa"/>
            <w:tcBorders>
              <w:top w:val="single" w:sz="4" w:space="0" w:color="auto"/>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single" w:sz="4" w:space="0" w:color="auto"/>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Oral, gavage</w:t>
            </w:r>
          </w:p>
        </w:tc>
        <w:tc>
          <w:tcPr>
            <w:tcW w:w="1418"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50</w:t>
            </w:r>
          </w:p>
        </w:tc>
        <w:tc>
          <w:tcPr>
            <w:tcW w:w="1842"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~20</w:t>
            </w:r>
          </w:p>
        </w:tc>
        <w:tc>
          <w:tcPr>
            <w:tcW w:w="2471" w:type="dxa"/>
            <w:tcBorders>
              <w:top w:val="single" w:sz="4" w:space="0" w:color="auto"/>
              <w:left w:val="nil"/>
              <w:bottom w:val="nil"/>
              <w:right w:val="single" w:sz="4" w:space="0" w:color="auto"/>
            </w:tcBorders>
            <w:noWrap/>
            <w:hideMark/>
          </w:tcPr>
          <w:p w:rsidR="00923403" w:rsidRPr="00923403" w:rsidRDefault="00923403" w:rsidP="00C46C9B">
            <w:pPr>
              <w:widowControl/>
              <w:spacing w:before="20" w:after="20"/>
              <w:rPr>
                <w:rFonts w:ascii="Calibri" w:eastAsia="Times New Roman" w:hAnsi="Calibri"/>
                <w:lang w:bidi="ar-SA"/>
              </w:rPr>
            </w:pP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Rat</w:t>
            </w: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50</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~4</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Palmer-Jones 1947b</w:t>
            </w:r>
          </w:p>
        </w:tc>
      </w:tr>
      <w:tr w:rsidR="00923403" w:rsidRPr="00923403" w:rsidTr="00923403">
        <w:trPr>
          <w:trHeight w:val="300"/>
        </w:trPr>
        <w:tc>
          <w:tcPr>
            <w:tcW w:w="1242" w:type="dxa"/>
            <w:tcBorders>
              <w:top w:val="nil"/>
              <w:left w:val="single" w:sz="4" w:space="0" w:color="auto"/>
              <w:bottom w:val="single" w:sz="4" w:space="0" w:color="auto"/>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single" w:sz="4" w:space="0" w:color="auto"/>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Intraperitoneal</w:t>
            </w:r>
          </w:p>
        </w:tc>
        <w:tc>
          <w:tcPr>
            <w:tcW w:w="1418"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50</w:t>
            </w:r>
          </w:p>
        </w:tc>
        <w:tc>
          <w:tcPr>
            <w:tcW w:w="1842"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~5</w:t>
            </w:r>
          </w:p>
        </w:tc>
        <w:tc>
          <w:tcPr>
            <w:tcW w:w="2471" w:type="dxa"/>
            <w:tcBorders>
              <w:top w:val="nil"/>
              <w:left w:val="nil"/>
              <w:bottom w:val="single" w:sz="4" w:space="0" w:color="auto"/>
              <w:right w:val="single" w:sz="4" w:space="0" w:color="auto"/>
            </w:tcBorders>
            <w:noWrap/>
            <w:hideMark/>
          </w:tcPr>
          <w:p w:rsidR="00923403" w:rsidRPr="00923403" w:rsidRDefault="00923403" w:rsidP="00C46C9B">
            <w:pPr>
              <w:widowControl/>
              <w:spacing w:before="20" w:after="20"/>
              <w:rPr>
                <w:rFonts w:ascii="Calibri" w:eastAsia="Times New Roman" w:hAnsi="Calibri"/>
                <w:lang w:bidi="ar-SA"/>
              </w:rPr>
            </w:pPr>
          </w:p>
        </w:tc>
      </w:tr>
      <w:tr w:rsidR="00923403" w:rsidRPr="00923403" w:rsidTr="00923403">
        <w:trPr>
          <w:trHeight w:val="300"/>
        </w:trPr>
        <w:tc>
          <w:tcPr>
            <w:tcW w:w="1242" w:type="dxa"/>
            <w:tcBorders>
              <w:top w:val="single" w:sz="4" w:space="0" w:color="auto"/>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single" w:sz="4" w:space="0" w:color="auto"/>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Oral, gavage</w:t>
            </w:r>
          </w:p>
        </w:tc>
        <w:tc>
          <w:tcPr>
            <w:tcW w:w="1418"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75</w:t>
            </w:r>
          </w:p>
        </w:tc>
        <w:tc>
          <w:tcPr>
            <w:tcW w:w="1842"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1.2</w:t>
            </w:r>
          </w:p>
        </w:tc>
        <w:tc>
          <w:tcPr>
            <w:tcW w:w="2471" w:type="dxa"/>
            <w:tcBorders>
              <w:top w:val="single" w:sz="4" w:space="0" w:color="auto"/>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Palmer-Jones 1947b</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Oral, gavage</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&gt;1.5</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Fitchett 1908</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Guinea pig</w:t>
            </w: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75</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0.75</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Palmer-Jones 1947b</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2</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Ford 1910</w:t>
            </w:r>
          </w:p>
        </w:tc>
      </w:tr>
      <w:tr w:rsidR="00923403" w:rsidRPr="00923403" w:rsidTr="00923403">
        <w:trPr>
          <w:trHeight w:val="300"/>
        </w:trPr>
        <w:tc>
          <w:tcPr>
            <w:tcW w:w="1242" w:type="dxa"/>
            <w:tcBorders>
              <w:top w:val="nil"/>
              <w:left w:val="single" w:sz="4" w:space="0" w:color="auto"/>
              <w:bottom w:val="single" w:sz="4" w:space="0" w:color="auto"/>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single" w:sz="4" w:space="0" w:color="auto"/>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Intraperitoneal</w:t>
            </w:r>
          </w:p>
        </w:tc>
        <w:tc>
          <w:tcPr>
            <w:tcW w:w="1418"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LD</w:t>
            </w:r>
            <w:r w:rsidRPr="00923403">
              <w:rPr>
                <w:rFonts w:cs="Arial"/>
                <w:sz w:val="20"/>
                <w:szCs w:val="20"/>
                <w:vertAlign w:val="subscript"/>
                <w:lang w:bidi="ar-SA"/>
              </w:rPr>
              <w:t>50</w:t>
            </w:r>
          </w:p>
        </w:tc>
        <w:tc>
          <w:tcPr>
            <w:tcW w:w="1842"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0.7</w:t>
            </w:r>
          </w:p>
        </w:tc>
        <w:tc>
          <w:tcPr>
            <w:tcW w:w="2471" w:type="dxa"/>
            <w:tcBorders>
              <w:top w:val="nil"/>
              <w:left w:val="nil"/>
              <w:bottom w:val="single" w:sz="4" w:space="0" w:color="auto"/>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Palmer-Jones 1947b</w:t>
            </w:r>
          </w:p>
        </w:tc>
      </w:tr>
      <w:tr w:rsidR="00923403" w:rsidRPr="00923403" w:rsidTr="00923403">
        <w:trPr>
          <w:trHeight w:val="300"/>
        </w:trPr>
        <w:tc>
          <w:tcPr>
            <w:tcW w:w="1242" w:type="dxa"/>
            <w:tcBorders>
              <w:top w:val="single" w:sz="4" w:space="0" w:color="auto"/>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single" w:sz="4" w:space="0" w:color="auto"/>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1.5</w:t>
            </w:r>
          </w:p>
        </w:tc>
        <w:tc>
          <w:tcPr>
            <w:tcW w:w="2471" w:type="dxa"/>
            <w:tcBorders>
              <w:top w:val="single" w:sz="4" w:space="0" w:color="auto"/>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Swanson 1940</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2.5</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Fitchett 1908</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Rabbit</w:t>
            </w: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1.7</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Ford 1910</w:t>
            </w:r>
          </w:p>
        </w:tc>
      </w:tr>
      <w:tr w:rsidR="00923403" w:rsidRPr="00923403" w:rsidTr="00923403">
        <w:trPr>
          <w:trHeight w:val="300"/>
        </w:trPr>
        <w:tc>
          <w:tcPr>
            <w:tcW w:w="1242" w:type="dxa"/>
            <w:tcBorders>
              <w:top w:val="nil"/>
              <w:left w:val="single" w:sz="4" w:space="0" w:color="auto"/>
              <w:bottom w:val="nil"/>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Intravenous</w:t>
            </w:r>
          </w:p>
        </w:tc>
        <w:tc>
          <w:tcPr>
            <w:tcW w:w="1418"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nil"/>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1.25</w:t>
            </w:r>
          </w:p>
        </w:tc>
        <w:tc>
          <w:tcPr>
            <w:tcW w:w="2471" w:type="dxa"/>
            <w:tcBorders>
              <w:top w:val="nil"/>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Swanson 1940</w:t>
            </w:r>
          </w:p>
        </w:tc>
      </w:tr>
      <w:tr w:rsidR="00923403" w:rsidRPr="00923403" w:rsidTr="00923403">
        <w:trPr>
          <w:trHeight w:val="300"/>
        </w:trPr>
        <w:tc>
          <w:tcPr>
            <w:tcW w:w="1242" w:type="dxa"/>
            <w:tcBorders>
              <w:top w:val="nil"/>
              <w:left w:val="single" w:sz="4" w:space="0" w:color="auto"/>
              <w:bottom w:val="single" w:sz="4" w:space="0" w:color="auto"/>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single" w:sz="4" w:space="0" w:color="auto"/>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Oral, gavage</w:t>
            </w:r>
          </w:p>
        </w:tc>
        <w:tc>
          <w:tcPr>
            <w:tcW w:w="1418"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~6</w:t>
            </w:r>
          </w:p>
        </w:tc>
        <w:tc>
          <w:tcPr>
            <w:tcW w:w="2471" w:type="dxa"/>
            <w:tcBorders>
              <w:top w:val="nil"/>
              <w:left w:val="nil"/>
              <w:bottom w:val="single" w:sz="4" w:space="0" w:color="auto"/>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Fitchett 1908</w:t>
            </w:r>
          </w:p>
        </w:tc>
      </w:tr>
      <w:tr w:rsidR="00923403" w:rsidRPr="00923403" w:rsidTr="00923403">
        <w:trPr>
          <w:trHeight w:val="300"/>
        </w:trPr>
        <w:tc>
          <w:tcPr>
            <w:tcW w:w="1242" w:type="dxa"/>
            <w:tcBorders>
              <w:top w:val="single" w:sz="4" w:space="0" w:color="auto"/>
              <w:left w:val="single" w:sz="4" w:space="0" w:color="auto"/>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Cat</w:t>
            </w:r>
          </w:p>
        </w:tc>
        <w:tc>
          <w:tcPr>
            <w:tcW w:w="1843" w:type="dxa"/>
            <w:tcBorders>
              <w:top w:val="single" w:sz="4" w:space="0" w:color="auto"/>
              <w:left w:val="nil"/>
              <w:bottom w:val="nil"/>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Subcutaneous</w:t>
            </w:r>
          </w:p>
        </w:tc>
        <w:tc>
          <w:tcPr>
            <w:tcW w:w="1418"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MLD</w:t>
            </w:r>
          </w:p>
        </w:tc>
        <w:tc>
          <w:tcPr>
            <w:tcW w:w="1842" w:type="dxa"/>
            <w:tcBorders>
              <w:top w:val="single" w:sz="4" w:space="0" w:color="auto"/>
              <w:left w:val="nil"/>
              <w:bottom w:val="nil"/>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~0.38</w:t>
            </w:r>
          </w:p>
        </w:tc>
        <w:tc>
          <w:tcPr>
            <w:tcW w:w="2471" w:type="dxa"/>
            <w:tcBorders>
              <w:top w:val="single" w:sz="4" w:space="0" w:color="auto"/>
              <w:left w:val="nil"/>
              <w:bottom w:val="nil"/>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Fitchett 1908</w:t>
            </w:r>
          </w:p>
        </w:tc>
      </w:tr>
      <w:tr w:rsidR="00923403" w:rsidRPr="00923403" w:rsidTr="00923403">
        <w:trPr>
          <w:trHeight w:val="300"/>
        </w:trPr>
        <w:tc>
          <w:tcPr>
            <w:tcW w:w="1242" w:type="dxa"/>
            <w:tcBorders>
              <w:top w:val="nil"/>
              <w:left w:val="single" w:sz="4" w:space="0" w:color="auto"/>
              <w:bottom w:val="single" w:sz="4" w:space="0" w:color="auto"/>
              <w:right w:val="nil"/>
            </w:tcBorders>
            <w:noWrap/>
            <w:hideMark/>
          </w:tcPr>
          <w:p w:rsidR="00923403" w:rsidRPr="00923403" w:rsidRDefault="00923403" w:rsidP="00C46C9B">
            <w:pPr>
              <w:widowControl/>
              <w:spacing w:before="20" w:after="20"/>
              <w:rPr>
                <w:rFonts w:ascii="Calibri" w:eastAsia="Times New Roman" w:hAnsi="Calibri"/>
                <w:lang w:bidi="ar-SA"/>
              </w:rPr>
            </w:pPr>
          </w:p>
        </w:tc>
        <w:tc>
          <w:tcPr>
            <w:tcW w:w="1843" w:type="dxa"/>
            <w:tcBorders>
              <w:top w:val="nil"/>
              <w:left w:val="nil"/>
              <w:bottom w:val="single" w:sz="4" w:space="0" w:color="auto"/>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Oral, gavage</w:t>
            </w:r>
          </w:p>
        </w:tc>
        <w:tc>
          <w:tcPr>
            <w:tcW w:w="1418"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“Lethal dose”</w:t>
            </w:r>
          </w:p>
        </w:tc>
        <w:tc>
          <w:tcPr>
            <w:tcW w:w="1842" w:type="dxa"/>
            <w:tcBorders>
              <w:top w:val="nil"/>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~0.54</w:t>
            </w:r>
          </w:p>
        </w:tc>
        <w:tc>
          <w:tcPr>
            <w:tcW w:w="2471" w:type="dxa"/>
            <w:tcBorders>
              <w:top w:val="nil"/>
              <w:left w:val="nil"/>
              <w:bottom w:val="single" w:sz="4" w:space="0" w:color="auto"/>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Easterfield 1900</w:t>
            </w:r>
          </w:p>
        </w:tc>
      </w:tr>
      <w:tr w:rsidR="00923403" w:rsidRPr="00923403" w:rsidTr="00923403">
        <w:trPr>
          <w:trHeight w:val="300"/>
        </w:trPr>
        <w:tc>
          <w:tcPr>
            <w:tcW w:w="1242" w:type="dxa"/>
            <w:tcBorders>
              <w:top w:val="single" w:sz="4" w:space="0" w:color="auto"/>
              <w:left w:val="single" w:sz="4" w:space="0" w:color="auto"/>
              <w:bottom w:val="single" w:sz="4" w:space="0" w:color="auto"/>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Pig</w:t>
            </w:r>
          </w:p>
        </w:tc>
        <w:tc>
          <w:tcPr>
            <w:tcW w:w="1843" w:type="dxa"/>
            <w:tcBorders>
              <w:top w:val="single" w:sz="4" w:space="0" w:color="auto"/>
              <w:left w:val="nil"/>
              <w:bottom w:val="single" w:sz="4" w:space="0" w:color="auto"/>
              <w:right w:val="nil"/>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Oral, feeding</w:t>
            </w:r>
          </w:p>
        </w:tc>
        <w:tc>
          <w:tcPr>
            <w:tcW w:w="1418" w:type="dxa"/>
            <w:tcBorders>
              <w:top w:val="single" w:sz="4" w:space="0" w:color="auto"/>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“Lethal dose”</w:t>
            </w:r>
          </w:p>
        </w:tc>
        <w:tc>
          <w:tcPr>
            <w:tcW w:w="1842" w:type="dxa"/>
            <w:tcBorders>
              <w:top w:val="single" w:sz="4" w:space="0" w:color="auto"/>
              <w:left w:val="nil"/>
              <w:bottom w:val="single" w:sz="4" w:space="0" w:color="auto"/>
              <w:right w:val="nil"/>
            </w:tcBorders>
            <w:noWrap/>
            <w:hideMark/>
          </w:tcPr>
          <w:p w:rsidR="00923403" w:rsidRPr="00923403" w:rsidRDefault="00923403" w:rsidP="00C46C9B">
            <w:pPr>
              <w:widowControl/>
              <w:spacing w:before="20" w:after="20"/>
              <w:jc w:val="center"/>
              <w:rPr>
                <w:rFonts w:eastAsia="Times New Roman" w:cs="Arial"/>
                <w:sz w:val="20"/>
                <w:szCs w:val="20"/>
                <w:lang w:bidi="ar-SA"/>
              </w:rPr>
            </w:pPr>
            <w:r w:rsidRPr="00923403">
              <w:rPr>
                <w:rFonts w:cs="Arial"/>
                <w:sz w:val="20"/>
                <w:szCs w:val="20"/>
                <w:lang w:bidi="ar-SA"/>
              </w:rPr>
              <w:t>~8</w:t>
            </w:r>
          </w:p>
        </w:tc>
        <w:tc>
          <w:tcPr>
            <w:tcW w:w="2471" w:type="dxa"/>
            <w:tcBorders>
              <w:top w:val="single" w:sz="4" w:space="0" w:color="auto"/>
              <w:left w:val="nil"/>
              <w:bottom w:val="single" w:sz="4" w:space="0" w:color="auto"/>
              <w:right w:val="single" w:sz="4" w:space="0" w:color="auto"/>
            </w:tcBorders>
            <w:noWrap/>
            <w:hideMark/>
          </w:tcPr>
          <w:p w:rsidR="00923403" w:rsidRPr="00923403" w:rsidRDefault="00923403" w:rsidP="00C46C9B">
            <w:pPr>
              <w:widowControl/>
              <w:spacing w:before="20" w:after="20"/>
              <w:rPr>
                <w:rFonts w:eastAsia="Times New Roman" w:cs="Arial"/>
                <w:sz w:val="20"/>
                <w:szCs w:val="20"/>
                <w:lang w:bidi="ar-SA"/>
              </w:rPr>
            </w:pPr>
            <w:r w:rsidRPr="00923403">
              <w:rPr>
                <w:rFonts w:cs="Arial"/>
                <w:sz w:val="20"/>
                <w:szCs w:val="20"/>
                <w:lang w:bidi="ar-SA"/>
              </w:rPr>
              <w:t>Easterfield 1900</w:t>
            </w:r>
          </w:p>
        </w:tc>
      </w:tr>
    </w:tbl>
    <w:p w:rsidR="00923403" w:rsidRPr="00923403" w:rsidRDefault="00923403" w:rsidP="00923403">
      <w:pPr>
        <w:widowControl/>
        <w:rPr>
          <w:rFonts w:cs="Arial"/>
          <w:sz w:val="8"/>
          <w:szCs w:val="8"/>
          <w:lang w:bidi="ar-SA"/>
        </w:rPr>
      </w:pPr>
    </w:p>
    <w:p w:rsidR="00923403" w:rsidRPr="00BD21BD" w:rsidRDefault="00F563B5" w:rsidP="00923403">
      <w:pPr>
        <w:widowControl/>
        <w:rPr>
          <w:rFonts w:cs="Arial"/>
          <w:sz w:val="18"/>
          <w:szCs w:val="20"/>
          <w:lang w:bidi="ar-SA"/>
        </w:rPr>
      </w:pPr>
      <w:r w:rsidRPr="00BD21BD">
        <w:rPr>
          <w:rFonts w:cs="Arial"/>
          <w:b/>
          <w:sz w:val="20"/>
          <w:vertAlign w:val="superscript"/>
          <w:lang w:bidi="ar-SA"/>
        </w:rPr>
        <w:t xml:space="preserve">† </w:t>
      </w:r>
      <w:r w:rsidR="00923403" w:rsidRPr="00BD21BD">
        <w:rPr>
          <w:rFonts w:cs="Arial"/>
          <w:sz w:val="18"/>
          <w:szCs w:val="20"/>
          <w:lang w:bidi="ar-SA"/>
        </w:rPr>
        <w:t xml:space="preserve">This Table was adapted from </w:t>
      </w:r>
      <w:r w:rsidR="00923403" w:rsidRPr="00BD21BD">
        <w:rPr>
          <w:rFonts w:cs="Arial"/>
          <w:bCs/>
          <w:iCs/>
          <w:sz w:val="18"/>
          <w:szCs w:val="20"/>
          <w:lang w:bidi="ar-SA"/>
        </w:rPr>
        <w:t xml:space="preserve">McNaughton and Goodwin (2008). </w:t>
      </w:r>
      <w:r w:rsidR="00923403" w:rsidRPr="00BD21BD">
        <w:rPr>
          <w:rFonts w:cs="Arial"/>
          <w:sz w:val="18"/>
          <w:szCs w:val="20"/>
          <w:lang w:bidi="ar-SA"/>
        </w:rPr>
        <w:t>MLD: Minimum lethal dose; LD</w:t>
      </w:r>
      <w:r w:rsidR="00923403" w:rsidRPr="00BD21BD">
        <w:rPr>
          <w:rFonts w:cs="Arial"/>
          <w:sz w:val="18"/>
          <w:szCs w:val="20"/>
          <w:vertAlign w:val="subscript"/>
          <w:lang w:bidi="ar-SA"/>
        </w:rPr>
        <w:t>50</w:t>
      </w:r>
      <w:r w:rsidR="00923403" w:rsidRPr="00BD21BD">
        <w:rPr>
          <w:rFonts w:cs="Arial"/>
          <w:sz w:val="18"/>
          <w:szCs w:val="20"/>
          <w:lang w:bidi="ar-SA"/>
        </w:rPr>
        <w:t xml:space="preserve">: Lethal dose for 50% of the </w:t>
      </w:r>
      <w:r w:rsidRPr="00BD21BD">
        <w:rPr>
          <w:rFonts w:cs="Arial"/>
          <w:sz w:val="18"/>
          <w:szCs w:val="20"/>
          <w:lang w:bidi="ar-SA"/>
        </w:rPr>
        <w:t>dosed animals</w:t>
      </w:r>
      <w:r w:rsidR="00923403" w:rsidRPr="00BD21BD">
        <w:rPr>
          <w:rFonts w:cs="Arial"/>
          <w:sz w:val="18"/>
          <w:szCs w:val="20"/>
          <w:lang w:bidi="ar-SA"/>
        </w:rPr>
        <w:t>; LD</w:t>
      </w:r>
      <w:r w:rsidR="00923403" w:rsidRPr="00BD21BD">
        <w:rPr>
          <w:rFonts w:cs="Arial"/>
          <w:sz w:val="18"/>
          <w:szCs w:val="20"/>
          <w:vertAlign w:val="subscript"/>
          <w:lang w:bidi="ar-SA"/>
        </w:rPr>
        <w:t>75</w:t>
      </w:r>
      <w:r w:rsidR="00923403" w:rsidRPr="00BD21BD">
        <w:rPr>
          <w:rFonts w:cs="Arial"/>
          <w:sz w:val="18"/>
          <w:szCs w:val="20"/>
          <w:lang w:bidi="ar-SA"/>
        </w:rPr>
        <w:t xml:space="preserve">: Lethal dose for 75% of the </w:t>
      </w:r>
      <w:r w:rsidRPr="00BD21BD">
        <w:rPr>
          <w:rFonts w:cs="Arial"/>
          <w:sz w:val="18"/>
          <w:szCs w:val="20"/>
          <w:lang w:bidi="ar-SA"/>
        </w:rPr>
        <w:t>dosed animals</w:t>
      </w:r>
      <w:r w:rsidR="00923403" w:rsidRPr="00BD21BD">
        <w:rPr>
          <w:rFonts w:cs="Arial"/>
          <w:sz w:val="18"/>
          <w:szCs w:val="20"/>
          <w:lang w:bidi="ar-SA"/>
        </w:rPr>
        <w:t>.</w:t>
      </w:r>
    </w:p>
    <w:p w:rsidR="00C93CF4" w:rsidRDefault="00C93CF4" w:rsidP="00923403">
      <w:pPr>
        <w:widowControl/>
        <w:rPr>
          <w:rFonts w:cs="Arial"/>
          <w:lang w:bidi="ar-SA"/>
        </w:rPr>
      </w:pPr>
      <w:r>
        <w:rPr>
          <w:rFonts w:cs="Arial"/>
          <w:lang w:bidi="ar-SA"/>
        </w:rPr>
        <w:lastRenderedPageBreak/>
        <w:t>A series of unpublished acute toxicity studies conducted over the period 2008-2011 are described below.</w:t>
      </w:r>
    </w:p>
    <w:p w:rsidR="00923403" w:rsidRPr="00923403" w:rsidRDefault="00923403" w:rsidP="00923403">
      <w:pPr>
        <w:widowControl/>
        <w:rPr>
          <w:rFonts w:cs="Arial"/>
          <w:lang w:bidi="ar-SA"/>
        </w:rPr>
      </w:pPr>
    </w:p>
    <w:tbl>
      <w:tblPr>
        <w:tblStyle w:val="TableGrid2"/>
        <w:tblW w:w="0" w:type="auto"/>
        <w:tblLook w:val="04A0" w:firstRow="1" w:lastRow="0" w:firstColumn="1" w:lastColumn="0" w:noHBand="0" w:noVBand="1"/>
      </w:tblPr>
      <w:tblGrid>
        <w:gridCol w:w="9242"/>
      </w:tblGrid>
      <w:tr w:rsidR="00923403" w:rsidRPr="00923403" w:rsidTr="00923403">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F586B" w:rsidRPr="00C46C9B" w:rsidRDefault="00923403" w:rsidP="00CB2985">
            <w:pPr>
              <w:widowControl/>
              <w:spacing w:before="40" w:after="40"/>
              <w:rPr>
                <w:rFonts w:cs="Arial"/>
                <w:sz w:val="20"/>
                <w:szCs w:val="20"/>
                <w:lang w:bidi="ar-SA"/>
              </w:rPr>
            </w:pPr>
            <w:r w:rsidRPr="00923403">
              <w:rPr>
                <w:rFonts w:cs="Arial"/>
                <w:sz w:val="20"/>
                <w:szCs w:val="20"/>
                <w:lang w:bidi="ar-SA"/>
              </w:rPr>
              <w:t>Munday R (2008a)</w:t>
            </w:r>
            <w:r w:rsidRPr="00923403">
              <w:rPr>
                <w:rFonts w:cs="Arial"/>
                <w:color w:val="000000"/>
                <w:sz w:val="20"/>
                <w:szCs w:val="20"/>
                <w:lang w:bidi="ar-SA"/>
              </w:rPr>
              <w:t xml:space="preserve"> Approaches toward risk assessment of the honey contaminant, tutin.</w:t>
            </w:r>
            <w:r w:rsidRPr="00923403">
              <w:rPr>
                <w:lang w:bidi="ar-SA"/>
              </w:rPr>
              <w:t xml:space="preserve"> </w:t>
            </w:r>
            <w:r w:rsidRPr="00923403">
              <w:rPr>
                <w:rFonts w:cs="Arial"/>
                <w:color w:val="000000"/>
                <w:sz w:val="20"/>
                <w:szCs w:val="20"/>
                <w:lang w:bidi="ar-SA"/>
              </w:rPr>
              <w:t>Unpublis</w:t>
            </w:r>
            <w:r w:rsidR="00DD4FBF">
              <w:rPr>
                <w:rFonts w:cs="Arial"/>
                <w:color w:val="000000"/>
                <w:sz w:val="20"/>
                <w:szCs w:val="20"/>
                <w:lang w:bidi="ar-SA"/>
              </w:rPr>
              <w:t>hed report included as an Appendix i</w:t>
            </w:r>
            <w:r w:rsidR="00DD4FBF" w:rsidRPr="00CB2985">
              <w:rPr>
                <w:rFonts w:cs="Arial"/>
                <w:color w:val="000000"/>
                <w:sz w:val="20"/>
                <w:szCs w:val="20"/>
                <w:lang w:bidi="ar-SA"/>
              </w:rPr>
              <w:t xml:space="preserve">n </w:t>
            </w:r>
            <w:r w:rsidR="00DD4FBF" w:rsidRPr="00C46C9B">
              <w:rPr>
                <w:rFonts w:cs="Arial"/>
                <w:sz w:val="20"/>
                <w:szCs w:val="20"/>
                <w:lang w:bidi="ar-SA"/>
              </w:rPr>
              <w:t>McNaughton and Goodwin (2008)</w:t>
            </w:r>
            <w:r w:rsidR="00DD4FBF">
              <w:rPr>
                <w:rFonts w:cs="Arial"/>
                <w:sz w:val="20"/>
                <w:szCs w:val="20"/>
                <w:lang w:bidi="ar-SA"/>
              </w:rPr>
              <w:t xml:space="preserve"> </w:t>
            </w:r>
            <w:r w:rsidRPr="00923403">
              <w:rPr>
                <w:rFonts w:cs="Arial"/>
                <w:b/>
                <w:color w:val="000000"/>
                <w:sz w:val="20"/>
                <w:szCs w:val="20"/>
                <w:lang w:bidi="ar-SA"/>
              </w:rPr>
              <w:t>Lab</w:t>
            </w:r>
            <w:r w:rsidRPr="00923403">
              <w:rPr>
                <w:rFonts w:cs="Arial"/>
                <w:color w:val="000000"/>
                <w:sz w:val="20"/>
                <w:szCs w:val="20"/>
                <w:lang w:bidi="ar-SA"/>
              </w:rPr>
              <w:t>: AgResearch, Hamilton, New Zealand.</w:t>
            </w:r>
            <w:r w:rsidRPr="00923403">
              <w:rPr>
                <w:rFonts w:cs="Arial"/>
                <w:bCs/>
                <w:iCs/>
                <w:sz w:val="20"/>
                <w:szCs w:val="20"/>
                <w:lang w:bidi="ar-SA"/>
              </w:rPr>
              <w:t xml:space="preserve"> </w:t>
            </w:r>
            <w:r w:rsidRPr="00923403">
              <w:rPr>
                <w:rFonts w:cs="Arial"/>
                <w:b/>
                <w:bCs/>
                <w:iCs/>
                <w:sz w:val="20"/>
                <w:szCs w:val="20"/>
                <w:lang w:bidi="ar-SA"/>
              </w:rPr>
              <w:t>Date</w:t>
            </w:r>
            <w:r w:rsidRPr="00923403">
              <w:rPr>
                <w:rFonts w:cs="Arial"/>
                <w:bCs/>
                <w:iCs/>
                <w:sz w:val="20"/>
                <w:szCs w:val="20"/>
                <w:lang w:bidi="ar-SA"/>
              </w:rPr>
              <w:t>:</w:t>
            </w:r>
            <w:r w:rsidRPr="00923403">
              <w:rPr>
                <w:rFonts w:cs="Arial"/>
                <w:sz w:val="20"/>
                <w:szCs w:val="20"/>
                <w:lang w:bidi="ar-SA"/>
              </w:rPr>
              <w:t xml:space="preserve"> </w:t>
            </w:r>
            <w:r w:rsidRPr="00923403">
              <w:rPr>
                <w:rFonts w:cs="Arial"/>
                <w:color w:val="000000"/>
                <w:sz w:val="20"/>
                <w:szCs w:val="20"/>
                <w:lang w:bidi="ar-SA"/>
              </w:rPr>
              <w:t xml:space="preserve">April 2008. </w:t>
            </w:r>
            <w:r w:rsidRPr="00923403">
              <w:rPr>
                <w:rFonts w:cs="Arial"/>
                <w:b/>
                <w:sz w:val="20"/>
                <w:szCs w:val="20"/>
                <w:lang w:bidi="ar-SA"/>
              </w:rPr>
              <w:t>GLP</w:t>
            </w:r>
            <w:r w:rsidRPr="00923403">
              <w:rPr>
                <w:rFonts w:cs="Arial"/>
                <w:sz w:val="20"/>
                <w:szCs w:val="20"/>
                <w:lang w:bidi="ar-SA"/>
              </w:rPr>
              <w:t>: No.</w:t>
            </w:r>
          </w:p>
        </w:tc>
      </w:tr>
    </w:tbl>
    <w:p w:rsidR="00923403" w:rsidRPr="00923403" w:rsidRDefault="00923403" w:rsidP="00923403">
      <w:pPr>
        <w:widowControl/>
        <w:rPr>
          <w:rFonts w:cs="Arial"/>
          <w:lang w:bidi="ar-SA"/>
        </w:rPr>
      </w:pPr>
    </w:p>
    <w:p w:rsidR="00923403" w:rsidRPr="00923403" w:rsidRDefault="00923403" w:rsidP="00923403">
      <w:pPr>
        <w:widowControl/>
        <w:rPr>
          <w:rFonts w:cs="Arial"/>
          <w:lang w:bidi="ar-SA"/>
        </w:rPr>
      </w:pPr>
      <w:r w:rsidRPr="00923403">
        <w:rPr>
          <w:rFonts w:cs="Arial"/>
          <w:lang w:bidi="ar-SA"/>
        </w:rPr>
        <w:t>It was stated that this study was conducted according to OECD Guideline 425:</w:t>
      </w:r>
      <w:r w:rsidRPr="00923403">
        <w:rPr>
          <w:lang w:bidi="ar-SA"/>
        </w:rPr>
        <w:t xml:space="preserve"> </w:t>
      </w:r>
      <w:r w:rsidRPr="00923403">
        <w:rPr>
          <w:rFonts w:cs="Arial"/>
          <w:lang w:bidi="ar-SA"/>
        </w:rPr>
        <w:t>Acute oral toxicity – up and down procedure (OECD 2001). LD</w:t>
      </w:r>
      <w:r w:rsidRPr="00923403">
        <w:rPr>
          <w:rFonts w:cs="Arial"/>
          <w:vertAlign w:val="subscript"/>
          <w:lang w:bidi="ar-SA"/>
        </w:rPr>
        <w:t>50</w:t>
      </w:r>
      <w:r w:rsidRPr="00923403">
        <w:rPr>
          <w:rFonts w:cs="Arial"/>
          <w:lang w:bidi="ar-SA"/>
        </w:rPr>
        <w:t xml:space="preserve"> values and confidence intervals were calculated with the statistical programme accompanying the guideline. Tutin </w:t>
      </w:r>
      <w:r w:rsidR="00DF006B">
        <w:rPr>
          <w:rFonts w:cs="Arial"/>
          <w:lang w:bidi="ar-SA"/>
        </w:rPr>
        <w:t>(</w:t>
      </w:r>
      <w:r w:rsidR="00DF006B" w:rsidRPr="00171EF9">
        <w:rPr>
          <w:rFonts w:cs="Arial"/>
          <w:lang w:bidi="ar-SA"/>
        </w:rPr>
        <w:t xml:space="preserve">purity </w:t>
      </w:r>
      <w:r w:rsidR="00EC675A">
        <w:rPr>
          <w:rFonts w:cs="Arial"/>
          <w:lang w:bidi="ar-SA"/>
        </w:rPr>
        <w:t>&gt; 95%</w:t>
      </w:r>
      <w:r w:rsidR="00DF006B">
        <w:rPr>
          <w:rFonts w:cs="Arial"/>
          <w:lang w:bidi="ar-SA"/>
        </w:rPr>
        <w:t xml:space="preserve">) </w:t>
      </w:r>
      <w:r w:rsidRPr="00923403">
        <w:rPr>
          <w:rFonts w:cs="Arial"/>
          <w:lang w:bidi="ar-SA"/>
        </w:rPr>
        <w:t xml:space="preserve">in aqueous solution was administered at various dose levels by gavage to female Swiss albino mice, 6-7 weeks old. Non-fasted mice were allowed free access to food at all times while for fasted mice food was withdrawn at 4 p.m. on the day before dosing, and replaced 10 min after administration of tutin. Mice were observed and weighed each day for 7 days after dosing. Mice dying during the experiment and those killed at its termination were necropsied. </w:t>
      </w:r>
    </w:p>
    <w:p w:rsidR="00923403" w:rsidRPr="00923403" w:rsidRDefault="00923403" w:rsidP="00923403">
      <w:pPr>
        <w:widowControl/>
        <w:autoSpaceDE w:val="0"/>
        <w:autoSpaceDN w:val="0"/>
        <w:adjustRightInd w:val="0"/>
        <w:rPr>
          <w:rFonts w:cs="Arial"/>
          <w:lang w:bidi="ar-SA"/>
        </w:rPr>
      </w:pPr>
    </w:p>
    <w:p w:rsidR="00923403" w:rsidRPr="00923403" w:rsidRDefault="00923403" w:rsidP="00923403">
      <w:pPr>
        <w:widowControl/>
        <w:autoSpaceDE w:val="0"/>
        <w:autoSpaceDN w:val="0"/>
        <w:adjustRightInd w:val="0"/>
        <w:rPr>
          <w:rFonts w:cs="Arial"/>
          <w:lang w:bidi="ar-SA"/>
        </w:rPr>
      </w:pPr>
      <w:r w:rsidRPr="00923403">
        <w:rPr>
          <w:rFonts w:cs="Arial"/>
          <w:lang w:bidi="ar-SA"/>
        </w:rPr>
        <w:t>In non-fasted mice, the LD</w:t>
      </w:r>
      <w:r w:rsidRPr="00923403">
        <w:rPr>
          <w:rFonts w:cs="Arial"/>
          <w:vertAlign w:val="subscript"/>
          <w:lang w:bidi="ar-SA"/>
        </w:rPr>
        <w:t>50</w:t>
      </w:r>
      <w:r w:rsidRPr="00923403">
        <w:rPr>
          <w:rFonts w:cs="Arial"/>
          <w:lang w:bidi="ar-SA"/>
        </w:rPr>
        <w:t xml:space="preserve"> for tutin was 4.7 mg/kg bw, wi</w:t>
      </w:r>
      <w:r w:rsidR="002B6793">
        <w:rPr>
          <w:rFonts w:cs="Arial"/>
          <w:lang w:bidi="ar-SA"/>
        </w:rPr>
        <w:t>th 95% confidence limits of 3.6 </w:t>
      </w:r>
      <w:r w:rsidRPr="00923403">
        <w:rPr>
          <w:rFonts w:cs="Arial"/>
          <w:lang w:bidi="ar-SA"/>
        </w:rPr>
        <w:t xml:space="preserve">and 6.8 mg/kg bw. At lethal doses, abdominal breathing was noted within 5 min of dosing, and the mice were lethargic. After 15 min, the hind legs of the mice were slightly extended and animals were inactive. After 15-30 min, tremors were noted when the mice moved. These were first apparent in the head, but later progressed to the whole body. The hind legs of the animals were stiff. Tremors were subsequently observed in some animals even when at rest. After between 40 min and 2 h, the mice fell on their side and exhibited rapid running movements for a few seconds. The hind legs then became fully extended and rigid, and the mice died. No macroscopic lesions were observed at necropsy. At sub-lethal doses, hind leg extension and tremors were observed soon after dosing. These persisted for 2-3 h after which the mice were hunched and lethargic. Clinical signs resolved at </w:t>
      </w:r>
      <w:r w:rsidR="007B3DF5">
        <w:rPr>
          <w:rFonts w:cs="Arial"/>
          <w:lang w:bidi="ar-SA"/>
        </w:rPr>
        <w:t>4-</w:t>
      </w:r>
      <w:r w:rsidRPr="00923403">
        <w:rPr>
          <w:rFonts w:cs="Arial"/>
          <w:lang w:bidi="ar-SA"/>
        </w:rPr>
        <w:t>5 h after dosing. Mice appeared normal throughout the subsequent one-week observation period and no abnormalities were observed at necropsy.</w:t>
      </w:r>
    </w:p>
    <w:p w:rsidR="00923403" w:rsidRPr="00923403" w:rsidRDefault="00923403" w:rsidP="00923403">
      <w:pPr>
        <w:widowControl/>
        <w:autoSpaceDE w:val="0"/>
        <w:autoSpaceDN w:val="0"/>
        <w:adjustRightInd w:val="0"/>
        <w:rPr>
          <w:rFonts w:cs="Arial"/>
          <w:lang w:bidi="ar-SA"/>
        </w:rPr>
      </w:pPr>
    </w:p>
    <w:p w:rsidR="00923403" w:rsidRPr="00923403" w:rsidRDefault="00923403" w:rsidP="00923403">
      <w:pPr>
        <w:widowControl/>
        <w:autoSpaceDE w:val="0"/>
        <w:autoSpaceDN w:val="0"/>
        <w:adjustRightInd w:val="0"/>
        <w:rPr>
          <w:rFonts w:cs="Arial"/>
          <w:lang w:bidi="ar-SA"/>
        </w:rPr>
      </w:pPr>
      <w:r w:rsidRPr="00923403">
        <w:rPr>
          <w:rFonts w:cs="Arial"/>
          <w:lang w:bidi="ar-SA"/>
        </w:rPr>
        <w:t>In fasted mice, the LD</w:t>
      </w:r>
      <w:r w:rsidRPr="00923403">
        <w:rPr>
          <w:rFonts w:cs="Arial"/>
          <w:vertAlign w:val="subscript"/>
          <w:lang w:bidi="ar-SA"/>
        </w:rPr>
        <w:t>50</w:t>
      </w:r>
      <w:r w:rsidRPr="00923403">
        <w:rPr>
          <w:rFonts w:cs="Arial"/>
          <w:lang w:bidi="ar-SA"/>
        </w:rPr>
        <w:t xml:space="preserve"> was 3.2 mg/kg bw, with 95% confidence limits of 2.4 and 4.6 mg/kg bw. Clinical signs were the same as those in non-fasted mice, and their onset was similarly rapid. At necropsy, small haemorrhages were observed in the glandular stomach of two out of the three mice receiving fatal doses of tutin. No other macroscopic abnormalities were observed in fasted mice.</w:t>
      </w:r>
    </w:p>
    <w:p w:rsidR="00923403" w:rsidRPr="00923403" w:rsidRDefault="00923403" w:rsidP="00923403">
      <w:pPr>
        <w:widowControl/>
        <w:autoSpaceDE w:val="0"/>
        <w:autoSpaceDN w:val="0"/>
        <w:adjustRightInd w:val="0"/>
        <w:rPr>
          <w:rFonts w:cs="Arial"/>
          <w:lang w:bidi="ar-SA"/>
        </w:rPr>
      </w:pPr>
    </w:p>
    <w:p w:rsidR="00923403" w:rsidRPr="00923403" w:rsidRDefault="00923403" w:rsidP="00923403">
      <w:pPr>
        <w:widowControl/>
        <w:autoSpaceDE w:val="0"/>
        <w:autoSpaceDN w:val="0"/>
        <w:adjustRightInd w:val="0"/>
        <w:rPr>
          <w:rFonts w:cs="Arial"/>
          <w:lang w:bidi="ar-SA"/>
        </w:rPr>
      </w:pPr>
      <w:r w:rsidRPr="00923403">
        <w:rPr>
          <w:rFonts w:cs="Arial"/>
          <w:lang w:bidi="ar-SA"/>
        </w:rPr>
        <w:t>In order to estimate an acute no observed adverse effect level (NOAEL), mice were dosed with tutin at levels below the LD</w:t>
      </w:r>
      <w:r w:rsidRPr="00923403">
        <w:rPr>
          <w:rFonts w:cs="Arial"/>
          <w:vertAlign w:val="subscript"/>
          <w:lang w:bidi="ar-SA"/>
        </w:rPr>
        <w:t>50</w:t>
      </w:r>
      <w:r w:rsidRPr="00923403">
        <w:rPr>
          <w:rFonts w:cs="Arial"/>
          <w:lang w:bidi="ar-SA"/>
        </w:rPr>
        <w:t xml:space="preserve"> and their subsequent clinical signs were monitored and compared with control mice dosed with water. Three mice were tested at each dose-level, set at 2, 1, 0.5 and 0.25 mg/kg bw. Non-fasted mice were used in these experiments.</w:t>
      </w:r>
    </w:p>
    <w:p w:rsidR="00923403" w:rsidRPr="00923403" w:rsidRDefault="00923403" w:rsidP="00923403">
      <w:pPr>
        <w:widowControl/>
        <w:autoSpaceDE w:val="0"/>
        <w:autoSpaceDN w:val="0"/>
        <w:adjustRightInd w:val="0"/>
        <w:rPr>
          <w:rFonts w:cs="Arial"/>
          <w:lang w:bidi="ar-SA"/>
        </w:rPr>
      </w:pPr>
    </w:p>
    <w:p w:rsidR="00BA1F13" w:rsidRDefault="00923403" w:rsidP="00923403">
      <w:pPr>
        <w:widowControl/>
        <w:autoSpaceDE w:val="0"/>
        <w:autoSpaceDN w:val="0"/>
        <w:adjustRightInd w:val="0"/>
        <w:rPr>
          <w:rFonts w:cs="Arial"/>
          <w:lang w:bidi="ar-SA"/>
        </w:rPr>
      </w:pPr>
      <w:r w:rsidRPr="00923403">
        <w:rPr>
          <w:rFonts w:cs="Arial"/>
          <w:lang w:bidi="ar-SA"/>
        </w:rPr>
        <w:t>At an oral dose of 2 mg/kg bw, tutin induced obvious toxic effects with mice displaying abdominal breathing, tremors and hind limb rigidity. After 1 h, these mice were less active than controls and were hunched with slight piloerection. Their condition rapidly improved and by 2 h after dosing they were indistinguishable from control animals. At 1 mg/kg bw, lethargy, abdominal breathing, hunching and hind leg stiffness were again observed. Clinical signs resolved 1-1.5 h after dosing. At 0.5 mg/kg bw, slight hunching was observed, and the mice were less active than control animals. These clinical signs had resolved by 1 h. At 0.25</w:t>
      </w:r>
      <w:r w:rsidR="002B6793">
        <w:rPr>
          <w:rFonts w:cs="Arial"/>
          <w:lang w:bidi="ar-SA"/>
        </w:rPr>
        <w:t> </w:t>
      </w:r>
      <w:r w:rsidRPr="00923403">
        <w:rPr>
          <w:rFonts w:cs="Arial"/>
          <w:lang w:bidi="ar-SA"/>
        </w:rPr>
        <w:t>mg/kg bw, no effects were observed and this dose was considered the NOAEL.</w:t>
      </w:r>
    </w:p>
    <w:p w:rsidR="00BA1F13" w:rsidRDefault="00BA1F13" w:rsidP="00923403">
      <w:pPr>
        <w:widowControl/>
        <w:autoSpaceDE w:val="0"/>
        <w:autoSpaceDN w:val="0"/>
        <w:adjustRightInd w:val="0"/>
        <w:rPr>
          <w:rFonts w:cs="Arial"/>
          <w:lang w:bidi="ar-SA"/>
        </w:rPr>
      </w:pPr>
    </w:p>
    <w:p w:rsidR="00BA1F13" w:rsidRDefault="00BA1F13" w:rsidP="00BA1F13">
      <w:pPr>
        <w:rPr>
          <w:rFonts w:eastAsiaTheme="majorEastAsia"/>
          <w:lang w:val="en-AU"/>
        </w:rPr>
      </w:pPr>
      <w:r>
        <w:rPr>
          <w:rFonts w:eastAsiaTheme="majorEastAsia"/>
          <w:lang w:val="en-AU"/>
        </w:rPr>
        <w:t>The New Zealand Food Safety Authority (NZFSA) established an Acute Reference Dose (ARfD) for tutin of 2.5 </w:t>
      </w:r>
      <w:r>
        <w:rPr>
          <w:rFonts w:eastAsiaTheme="majorEastAsia" w:cs="Arial"/>
          <w:lang w:val="en-AU"/>
        </w:rPr>
        <w:t>µ</w:t>
      </w:r>
      <w:r w:rsidR="002773D9">
        <w:rPr>
          <w:rFonts w:eastAsiaTheme="majorEastAsia"/>
          <w:lang w:val="en-AU"/>
        </w:rPr>
        <w:t>g/kg bw</w:t>
      </w:r>
      <w:r>
        <w:rPr>
          <w:rFonts w:eastAsiaTheme="majorEastAsia"/>
          <w:lang w:val="en-AU"/>
        </w:rPr>
        <w:t xml:space="preserve"> by application of a 100-fold uncertainty factor to this NOAEL (NZFSA 2008).</w:t>
      </w:r>
    </w:p>
    <w:p w:rsidR="00923403" w:rsidRPr="00923403" w:rsidRDefault="00923403" w:rsidP="00923403">
      <w:pPr>
        <w:widowControl/>
        <w:autoSpaceDE w:val="0"/>
        <w:autoSpaceDN w:val="0"/>
        <w:adjustRightInd w:val="0"/>
        <w:rPr>
          <w:rFonts w:cs="Arial"/>
          <w:lang w:bidi="ar-SA"/>
        </w:rPr>
      </w:pPr>
    </w:p>
    <w:p w:rsidR="00680F3A" w:rsidRDefault="00680F3A">
      <w:r>
        <w:br w:type="page"/>
      </w:r>
    </w:p>
    <w:tbl>
      <w:tblPr>
        <w:tblStyle w:val="TableGrid2"/>
        <w:tblW w:w="0" w:type="auto"/>
        <w:tblLook w:val="04A0" w:firstRow="1" w:lastRow="0" w:firstColumn="1" w:lastColumn="0" w:noHBand="0" w:noVBand="1"/>
      </w:tblPr>
      <w:tblGrid>
        <w:gridCol w:w="9242"/>
      </w:tblGrid>
      <w:tr w:rsidR="00923403" w:rsidRPr="00923403" w:rsidTr="00923403">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403" w:rsidRPr="00923403" w:rsidRDefault="00923403" w:rsidP="00CB2985">
            <w:pPr>
              <w:spacing w:before="40" w:after="40"/>
              <w:rPr>
                <w:rFonts w:eastAsia="Times New Roman" w:cs="Arial"/>
                <w:color w:val="000000"/>
                <w:sz w:val="20"/>
                <w:szCs w:val="20"/>
                <w:lang w:bidi="ar-SA"/>
              </w:rPr>
            </w:pPr>
            <w:r w:rsidRPr="00923403">
              <w:rPr>
                <w:rFonts w:cs="Arial"/>
                <w:bCs/>
                <w:iCs/>
                <w:sz w:val="20"/>
                <w:szCs w:val="20"/>
                <w:lang w:bidi="ar-SA"/>
              </w:rPr>
              <w:lastRenderedPageBreak/>
              <w:t>Munday R (2008b) Acute toxicity of hyenanchin in mice.</w:t>
            </w:r>
            <w:r w:rsidRPr="00923403">
              <w:rPr>
                <w:lang w:bidi="ar-SA"/>
              </w:rPr>
              <w:t xml:space="preserve"> </w:t>
            </w:r>
            <w:r w:rsidRPr="00923403">
              <w:rPr>
                <w:rFonts w:cs="Arial"/>
                <w:bCs/>
                <w:iCs/>
                <w:sz w:val="20"/>
                <w:szCs w:val="20"/>
                <w:lang w:bidi="ar-SA"/>
              </w:rPr>
              <w:t xml:space="preserve">Unpublished report. </w:t>
            </w:r>
            <w:r w:rsidRPr="00923403">
              <w:rPr>
                <w:rFonts w:cs="Arial"/>
                <w:color w:val="000000"/>
                <w:sz w:val="20"/>
                <w:szCs w:val="20"/>
                <w:lang w:bidi="ar-SA"/>
              </w:rPr>
              <w:t xml:space="preserve"> </w:t>
            </w:r>
            <w:r w:rsidRPr="00923403">
              <w:rPr>
                <w:rFonts w:cs="Arial"/>
                <w:b/>
                <w:color w:val="000000"/>
                <w:sz w:val="20"/>
                <w:szCs w:val="20"/>
                <w:lang w:bidi="ar-SA"/>
              </w:rPr>
              <w:t>Lab</w:t>
            </w:r>
            <w:r w:rsidRPr="00923403">
              <w:rPr>
                <w:rFonts w:cs="Arial"/>
                <w:color w:val="000000"/>
                <w:sz w:val="20"/>
                <w:szCs w:val="20"/>
                <w:lang w:bidi="ar-SA"/>
              </w:rPr>
              <w:t xml:space="preserve">: AgResearch, Hamilton, New Zealand. </w:t>
            </w:r>
            <w:r w:rsidRPr="00923403">
              <w:rPr>
                <w:rFonts w:cs="Arial"/>
                <w:b/>
                <w:color w:val="000000"/>
                <w:sz w:val="20"/>
                <w:szCs w:val="20"/>
                <w:lang w:bidi="ar-SA"/>
              </w:rPr>
              <w:t>Date</w:t>
            </w:r>
            <w:r w:rsidRPr="00923403">
              <w:rPr>
                <w:rFonts w:cs="Arial"/>
                <w:color w:val="000000"/>
                <w:sz w:val="20"/>
                <w:szCs w:val="20"/>
                <w:lang w:bidi="ar-SA"/>
              </w:rPr>
              <w:t xml:space="preserve">: November 2008. </w:t>
            </w:r>
            <w:r w:rsidRPr="00923403">
              <w:rPr>
                <w:rFonts w:cs="Arial"/>
                <w:b/>
                <w:color w:val="000000"/>
                <w:sz w:val="20"/>
                <w:szCs w:val="20"/>
                <w:lang w:bidi="ar-SA"/>
              </w:rPr>
              <w:t>GLP</w:t>
            </w:r>
            <w:r w:rsidRPr="00923403">
              <w:rPr>
                <w:rFonts w:cs="Arial"/>
                <w:color w:val="000000"/>
                <w:sz w:val="20"/>
                <w:szCs w:val="20"/>
                <w:lang w:bidi="ar-SA"/>
              </w:rPr>
              <w:t>: No.</w:t>
            </w:r>
          </w:p>
        </w:tc>
      </w:tr>
    </w:tbl>
    <w:p w:rsidR="00923403" w:rsidRPr="00923403" w:rsidRDefault="00923403" w:rsidP="00923403">
      <w:pPr>
        <w:widowControl/>
        <w:autoSpaceDE w:val="0"/>
        <w:autoSpaceDN w:val="0"/>
        <w:adjustRightInd w:val="0"/>
        <w:rPr>
          <w:rFonts w:cs="Arial"/>
          <w:color w:val="000000"/>
          <w:lang w:bidi="ar-SA"/>
        </w:rPr>
      </w:pPr>
    </w:p>
    <w:p w:rsidR="00923403" w:rsidRDefault="00923403" w:rsidP="00923403">
      <w:pPr>
        <w:widowControl/>
        <w:autoSpaceDE w:val="0"/>
        <w:autoSpaceDN w:val="0"/>
        <w:adjustRightInd w:val="0"/>
        <w:rPr>
          <w:rFonts w:cs="Arial"/>
          <w:color w:val="000000"/>
          <w:lang w:bidi="ar-SA"/>
        </w:rPr>
      </w:pPr>
      <w:r w:rsidRPr="00923403">
        <w:rPr>
          <w:rFonts w:cs="Arial"/>
          <w:color w:val="000000"/>
          <w:lang w:bidi="ar-SA"/>
        </w:rPr>
        <w:t xml:space="preserve">This study examined the acute oral toxicity of the tutin metabolite hyenanchin and also examined the acute toxicity of tutin administered to non-fasted female Swiss albino mice by the IP route. </w:t>
      </w:r>
      <w:r w:rsidR="00EC2B7C">
        <w:rPr>
          <w:rFonts w:cs="Arial"/>
          <w:color w:val="000000"/>
          <w:lang w:bidi="ar-SA"/>
        </w:rPr>
        <w:t xml:space="preserve">The </w:t>
      </w:r>
      <w:r w:rsidRPr="00923403">
        <w:rPr>
          <w:rFonts w:cs="Arial"/>
          <w:color w:val="000000"/>
          <w:lang w:bidi="ar-SA"/>
        </w:rPr>
        <w:t>LD</w:t>
      </w:r>
      <w:r w:rsidRPr="00923403">
        <w:rPr>
          <w:rFonts w:cs="Arial"/>
          <w:color w:val="000000"/>
          <w:vertAlign w:val="subscript"/>
          <w:lang w:bidi="ar-SA"/>
        </w:rPr>
        <w:t>50</w:t>
      </w:r>
      <w:r w:rsidRPr="00923403">
        <w:rPr>
          <w:rFonts w:cs="Arial"/>
          <w:color w:val="000000"/>
          <w:lang w:bidi="ar-SA"/>
        </w:rPr>
        <w:t xml:space="preserve"> for tutin </w:t>
      </w:r>
      <w:r w:rsidR="004304BD">
        <w:rPr>
          <w:rFonts w:cs="Arial"/>
          <w:color w:val="000000"/>
          <w:lang w:bidi="ar-SA"/>
        </w:rPr>
        <w:t>(</w:t>
      </w:r>
      <w:r w:rsidR="004304BD" w:rsidRPr="00171EF9">
        <w:rPr>
          <w:rFonts w:cs="Arial"/>
          <w:color w:val="000000"/>
          <w:lang w:bidi="ar-SA"/>
        </w:rPr>
        <w:t xml:space="preserve">purity </w:t>
      </w:r>
      <w:r w:rsidR="00EC675A">
        <w:rPr>
          <w:rFonts w:cs="Arial"/>
          <w:color w:val="000000"/>
          <w:lang w:bidi="ar-SA"/>
        </w:rPr>
        <w:t>&gt; 95%</w:t>
      </w:r>
      <w:r w:rsidR="004304BD">
        <w:rPr>
          <w:rFonts w:cs="Arial"/>
          <w:color w:val="000000"/>
          <w:lang w:bidi="ar-SA"/>
        </w:rPr>
        <w:t xml:space="preserve">) </w:t>
      </w:r>
      <w:r w:rsidRPr="00923403">
        <w:rPr>
          <w:rFonts w:cs="Arial"/>
          <w:color w:val="000000"/>
          <w:lang w:bidi="ar-SA"/>
        </w:rPr>
        <w:t>was 3.0 mg/kg bw (IP). The 95% confidence interval of 2.3 to 4.3 mg/kg bw overlaps with the corresponding oral interval noted above (3.6 to 6.8 mg/kg bw</w:t>
      </w:r>
      <w:r w:rsidR="00DF006B">
        <w:rPr>
          <w:rFonts w:cs="Arial"/>
          <w:color w:val="000000"/>
          <w:lang w:bidi="ar-SA"/>
        </w:rPr>
        <w:t>; Munday 2008a</w:t>
      </w:r>
      <w:r w:rsidRPr="00923403">
        <w:rPr>
          <w:rFonts w:cs="Arial"/>
          <w:color w:val="000000"/>
          <w:lang w:bidi="ar-SA"/>
        </w:rPr>
        <w:t>). The clinical signs of toxicity observed after IP injection were similar to those observed with orally administered tutin. At lethal doses, abdominal breathing was observed within minutes of dosing and the mice became lethargic. Whole body tremors were noted when the mice were disturbed, and their hind legs became stiff and extended. Death occurred between 40 min and 1.7 h after dosing. At sub-lethal doses, abdominal breathing, piloerection, tremors and hind leg extension were init</w:t>
      </w:r>
      <w:r w:rsidR="00DF006B">
        <w:rPr>
          <w:rFonts w:cs="Arial"/>
          <w:color w:val="000000"/>
          <w:lang w:bidi="ar-SA"/>
        </w:rPr>
        <w:t>ially observed, but after 2-2.5 </w:t>
      </w:r>
      <w:r w:rsidRPr="00923403">
        <w:rPr>
          <w:rFonts w:cs="Arial"/>
          <w:color w:val="000000"/>
          <w:lang w:bidi="ar-SA"/>
        </w:rPr>
        <w:t>h the clinical signs had resolved and mice remained normal throughout the subsequent 2-week observation period. No macroscopic abnormalities were reported in mice that died or those that were killed at the end of the observation period. Organ weights were stated to be within the normal range.</w:t>
      </w:r>
    </w:p>
    <w:p w:rsidR="002C2DE5" w:rsidRDefault="002C2DE5" w:rsidP="00DF006B">
      <w:pPr>
        <w:widowControl/>
        <w:autoSpaceDE w:val="0"/>
        <w:autoSpaceDN w:val="0"/>
        <w:adjustRightInd w:val="0"/>
        <w:rPr>
          <w:rFonts w:cs="Arial"/>
          <w:lang w:bidi="ar-SA"/>
        </w:rPr>
      </w:pPr>
    </w:p>
    <w:p w:rsidR="00DF006B" w:rsidRDefault="002C2DE5" w:rsidP="00C46C9B">
      <w:pPr>
        <w:widowControl/>
        <w:autoSpaceDE w:val="0"/>
        <w:autoSpaceDN w:val="0"/>
        <w:adjustRightInd w:val="0"/>
        <w:rPr>
          <w:rFonts w:cs="Arial"/>
          <w:lang w:bidi="ar-SA"/>
        </w:rPr>
      </w:pPr>
      <w:r>
        <w:rPr>
          <w:rFonts w:cs="Arial"/>
          <w:lang w:bidi="ar-SA"/>
        </w:rPr>
        <w:t>Results for hyenanchin are described in Section</w:t>
      </w:r>
      <w:r w:rsidR="00FD2A19">
        <w:rPr>
          <w:rFonts w:cs="Arial"/>
          <w:lang w:bidi="ar-SA"/>
        </w:rPr>
        <w:t xml:space="preserve"> 2.2.10.</w:t>
      </w:r>
    </w:p>
    <w:p w:rsidR="00923403" w:rsidRPr="00923403" w:rsidRDefault="00923403" w:rsidP="00BD21BD">
      <w:pPr>
        <w:widowControl/>
        <w:rPr>
          <w:rFonts w:cs="Arial"/>
          <w:color w:val="000000"/>
          <w:lang w:bidi="ar-SA"/>
        </w:rPr>
      </w:pPr>
    </w:p>
    <w:tbl>
      <w:tblPr>
        <w:tblStyle w:val="TableGrid2"/>
        <w:tblW w:w="0" w:type="auto"/>
        <w:tblLook w:val="04A0" w:firstRow="1" w:lastRow="0" w:firstColumn="1" w:lastColumn="0" w:noHBand="0" w:noVBand="1"/>
      </w:tblPr>
      <w:tblGrid>
        <w:gridCol w:w="9242"/>
      </w:tblGrid>
      <w:tr w:rsidR="00923403" w:rsidRPr="00923403" w:rsidTr="00923403">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403" w:rsidRPr="00923403" w:rsidRDefault="00923403" w:rsidP="00923403">
            <w:pPr>
              <w:spacing w:before="40" w:after="40"/>
              <w:rPr>
                <w:rFonts w:eastAsia="Times New Roman" w:cs="Arial"/>
                <w:color w:val="000000"/>
                <w:sz w:val="20"/>
                <w:szCs w:val="20"/>
                <w:lang w:bidi="ar-SA"/>
              </w:rPr>
            </w:pPr>
            <w:r w:rsidRPr="00923403">
              <w:rPr>
                <w:rFonts w:cs="Arial"/>
                <w:bCs/>
                <w:iCs/>
                <w:sz w:val="20"/>
                <w:szCs w:val="20"/>
                <w:lang w:bidi="ar-SA"/>
              </w:rPr>
              <w:t>Munday R (2010) Acute toxicity of tutin and its derivatives found in toxic honey. Unpublished report.</w:t>
            </w:r>
            <w:r w:rsidRPr="00923403">
              <w:rPr>
                <w:rFonts w:cs="Arial"/>
                <w:color w:val="000000"/>
                <w:sz w:val="20"/>
                <w:szCs w:val="20"/>
                <w:lang w:bidi="ar-SA"/>
              </w:rPr>
              <w:t xml:space="preserve"> </w:t>
            </w:r>
            <w:r w:rsidR="00F16110">
              <w:rPr>
                <w:rFonts w:cs="Arial"/>
                <w:color w:val="000000"/>
                <w:sz w:val="20"/>
                <w:szCs w:val="20"/>
                <w:lang w:bidi="ar-SA"/>
              </w:rPr>
              <w:t xml:space="preserve">(Report no. </w:t>
            </w:r>
            <w:r w:rsidR="00F16110" w:rsidRPr="00F16110">
              <w:rPr>
                <w:rFonts w:cs="Arial"/>
                <w:color w:val="000000"/>
                <w:sz w:val="20"/>
                <w:szCs w:val="20"/>
                <w:lang w:bidi="ar-SA"/>
              </w:rPr>
              <w:t>AGFH 01245</w:t>
            </w:r>
            <w:r w:rsidR="00F16110">
              <w:rPr>
                <w:rFonts w:cs="Arial"/>
                <w:bCs/>
                <w:iCs/>
                <w:sz w:val="20"/>
                <w:szCs w:val="20"/>
                <w:lang w:bidi="ar-SA"/>
              </w:rPr>
              <w:t>)</w:t>
            </w:r>
            <w:r w:rsidR="007515C4" w:rsidRPr="00923403">
              <w:rPr>
                <w:rFonts w:cs="Arial"/>
                <w:bCs/>
                <w:iCs/>
                <w:sz w:val="20"/>
                <w:szCs w:val="20"/>
                <w:lang w:bidi="ar-SA"/>
              </w:rPr>
              <w:t xml:space="preserve"> </w:t>
            </w:r>
            <w:r w:rsidR="007515C4" w:rsidRPr="00923403">
              <w:rPr>
                <w:rFonts w:cs="Arial"/>
                <w:color w:val="000000"/>
                <w:sz w:val="20"/>
                <w:szCs w:val="20"/>
                <w:lang w:bidi="ar-SA"/>
              </w:rPr>
              <w:t xml:space="preserve"> </w:t>
            </w:r>
            <w:r w:rsidRPr="00923403">
              <w:rPr>
                <w:rFonts w:cs="Arial"/>
                <w:b/>
                <w:color w:val="000000"/>
                <w:sz w:val="20"/>
                <w:szCs w:val="20"/>
                <w:lang w:bidi="ar-SA"/>
              </w:rPr>
              <w:t>Lab</w:t>
            </w:r>
            <w:r w:rsidRPr="00923403">
              <w:rPr>
                <w:rFonts w:cs="Arial"/>
                <w:color w:val="000000"/>
                <w:sz w:val="20"/>
                <w:szCs w:val="20"/>
                <w:lang w:bidi="ar-SA"/>
              </w:rPr>
              <w:t xml:space="preserve">: AgResearch, Hamilton, New Zealand. </w:t>
            </w:r>
            <w:r w:rsidRPr="00923403">
              <w:rPr>
                <w:rFonts w:cs="Arial"/>
                <w:b/>
                <w:color w:val="000000"/>
                <w:sz w:val="20"/>
                <w:szCs w:val="20"/>
                <w:lang w:bidi="ar-SA"/>
              </w:rPr>
              <w:t>Date</w:t>
            </w:r>
            <w:r w:rsidRPr="00923403">
              <w:rPr>
                <w:rFonts w:cs="Arial"/>
                <w:color w:val="000000"/>
                <w:sz w:val="20"/>
                <w:szCs w:val="20"/>
                <w:lang w:bidi="ar-SA"/>
              </w:rPr>
              <w:t xml:space="preserve">: December 2010. </w:t>
            </w:r>
            <w:r w:rsidRPr="00923403">
              <w:rPr>
                <w:rFonts w:cs="Arial"/>
                <w:b/>
                <w:color w:val="000000"/>
                <w:sz w:val="20"/>
                <w:szCs w:val="20"/>
                <w:lang w:bidi="ar-SA"/>
              </w:rPr>
              <w:t>GLP</w:t>
            </w:r>
            <w:r w:rsidRPr="00923403">
              <w:rPr>
                <w:rFonts w:cs="Arial"/>
                <w:color w:val="000000"/>
                <w:sz w:val="20"/>
                <w:szCs w:val="20"/>
                <w:lang w:bidi="ar-SA"/>
              </w:rPr>
              <w:t>: No.</w:t>
            </w:r>
          </w:p>
        </w:tc>
      </w:tr>
    </w:tbl>
    <w:p w:rsidR="00923403" w:rsidRPr="00923403" w:rsidRDefault="00923403" w:rsidP="00923403">
      <w:pPr>
        <w:widowControl/>
        <w:autoSpaceDE w:val="0"/>
        <w:autoSpaceDN w:val="0"/>
        <w:adjustRightInd w:val="0"/>
        <w:rPr>
          <w:rFonts w:cs="Arial"/>
          <w:color w:val="000000"/>
          <w:lang w:bidi="ar-SA"/>
        </w:rPr>
      </w:pPr>
    </w:p>
    <w:p w:rsidR="00923403" w:rsidRPr="00923403" w:rsidRDefault="00923403" w:rsidP="00923403">
      <w:pPr>
        <w:widowControl/>
        <w:autoSpaceDE w:val="0"/>
        <w:autoSpaceDN w:val="0"/>
        <w:adjustRightInd w:val="0"/>
        <w:rPr>
          <w:rFonts w:cs="Arial"/>
          <w:color w:val="000000"/>
          <w:lang w:bidi="ar-SA"/>
        </w:rPr>
      </w:pPr>
      <w:r w:rsidRPr="00923403">
        <w:rPr>
          <w:rFonts w:cs="Arial"/>
          <w:color w:val="000000"/>
          <w:lang w:bidi="ar-SA"/>
        </w:rPr>
        <w:t xml:space="preserve">An acute toxicity study in mice dosed with </w:t>
      </w:r>
      <w:r w:rsidR="002C2DE5">
        <w:rPr>
          <w:rFonts w:cs="Arial"/>
          <w:color w:val="000000"/>
          <w:lang w:bidi="ar-SA"/>
        </w:rPr>
        <w:t xml:space="preserve">honey containing tutin and </w:t>
      </w:r>
      <w:r w:rsidRPr="00923403">
        <w:rPr>
          <w:rFonts w:cs="Arial"/>
          <w:color w:val="000000"/>
          <w:lang w:bidi="ar-SA"/>
        </w:rPr>
        <w:t>hyenanchin</w:t>
      </w:r>
      <w:r w:rsidR="002C2DE5">
        <w:rPr>
          <w:rFonts w:cs="Arial"/>
          <w:color w:val="000000"/>
          <w:lang w:bidi="ar-SA"/>
        </w:rPr>
        <w:t xml:space="preserve"> as natural toxicants </w:t>
      </w:r>
      <w:r w:rsidRPr="00923403">
        <w:rPr>
          <w:rFonts w:cs="Arial"/>
          <w:color w:val="000000"/>
          <w:lang w:bidi="ar-SA"/>
        </w:rPr>
        <w:t xml:space="preserve">or </w:t>
      </w:r>
      <w:r w:rsidR="002C2DE5">
        <w:rPr>
          <w:rFonts w:cs="Arial"/>
          <w:color w:val="000000"/>
          <w:lang w:bidi="ar-SA"/>
        </w:rPr>
        <w:t xml:space="preserve">with </w:t>
      </w:r>
      <w:r w:rsidRPr="00923403">
        <w:rPr>
          <w:rFonts w:cs="Arial"/>
          <w:color w:val="000000"/>
          <w:lang w:bidi="ar-SA"/>
        </w:rPr>
        <w:t xml:space="preserve">honey spiked with tutin </w:t>
      </w:r>
      <w:r w:rsidR="00132607">
        <w:rPr>
          <w:rFonts w:cs="Arial"/>
          <w:color w:val="000000"/>
          <w:lang w:bidi="ar-SA"/>
        </w:rPr>
        <w:t xml:space="preserve">(purity </w:t>
      </w:r>
      <w:r w:rsidR="00132607" w:rsidRPr="00132607">
        <w:rPr>
          <w:rFonts w:cs="Arial"/>
          <w:color w:val="000000"/>
          <w:lang w:bidi="ar-SA"/>
        </w:rPr>
        <w:t xml:space="preserve">&gt; 95% </w:t>
      </w:r>
      <w:r w:rsidR="00132607">
        <w:rPr>
          <w:rFonts w:cs="Arial"/>
          <w:color w:val="000000"/>
          <w:lang w:bidi="ar-SA"/>
        </w:rPr>
        <w:t xml:space="preserve">w/w; </w:t>
      </w:r>
      <w:r w:rsidR="00132607" w:rsidRPr="00132607">
        <w:rPr>
          <w:rFonts w:cs="Arial"/>
          <w:color w:val="000000"/>
          <w:lang w:bidi="ar-SA"/>
        </w:rPr>
        <w:t>Larsen and Sansom 2009</w:t>
      </w:r>
      <w:r w:rsidR="00132607">
        <w:rPr>
          <w:rFonts w:cs="Arial"/>
          <w:color w:val="000000"/>
          <w:lang w:bidi="ar-SA"/>
        </w:rPr>
        <w:t xml:space="preserve">) </w:t>
      </w:r>
      <w:r w:rsidRPr="00923403">
        <w:rPr>
          <w:rFonts w:cs="Arial"/>
          <w:color w:val="000000"/>
          <w:lang w:bidi="ar-SA"/>
        </w:rPr>
        <w:t xml:space="preserve">was conducted in order to address the question of whether an unidentified toxic compound or compounds may be present in tutin/hyenanchin-contaminated honey. The spiked honey and the naturally-contaminated honey contained tutin at a concentration of 40 mg/kg. </w:t>
      </w:r>
      <w:r w:rsidR="004304BD">
        <w:rPr>
          <w:rFonts w:cs="Arial"/>
          <w:color w:val="000000"/>
          <w:lang w:bidi="ar-SA"/>
        </w:rPr>
        <w:t xml:space="preserve">The hyenanchin concentration in honey was not stated. </w:t>
      </w:r>
      <w:r w:rsidRPr="00923403">
        <w:rPr>
          <w:rFonts w:cs="Arial"/>
          <w:color w:val="000000"/>
          <w:lang w:bidi="ar-SA"/>
        </w:rPr>
        <w:t>Groups of non-fasted mice received a single oral gavage dose of 400 mg of naturally contaminated honey or spiked honey resulting in a tutin dose of 0.79 mg/kg bw for each group. A control group received 400 mg of uncontaminated honey.</w:t>
      </w:r>
    </w:p>
    <w:p w:rsidR="00923403" w:rsidRPr="00923403" w:rsidRDefault="00923403" w:rsidP="00923403">
      <w:pPr>
        <w:widowControl/>
        <w:autoSpaceDE w:val="0"/>
        <w:autoSpaceDN w:val="0"/>
        <w:adjustRightInd w:val="0"/>
        <w:rPr>
          <w:rFonts w:cs="Arial"/>
          <w:color w:val="000000"/>
          <w:lang w:bidi="ar-SA"/>
        </w:rPr>
      </w:pPr>
    </w:p>
    <w:p w:rsidR="00923403" w:rsidRPr="00923403" w:rsidRDefault="00923403" w:rsidP="00923403">
      <w:pPr>
        <w:widowControl/>
        <w:autoSpaceDE w:val="0"/>
        <w:autoSpaceDN w:val="0"/>
        <w:adjustRightInd w:val="0"/>
        <w:rPr>
          <w:rFonts w:cs="Arial"/>
          <w:color w:val="000000"/>
          <w:lang w:bidi="ar-SA"/>
        </w:rPr>
      </w:pPr>
      <w:r w:rsidRPr="00923403">
        <w:rPr>
          <w:rFonts w:cs="Arial"/>
          <w:color w:val="000000"/>
          <w:lang w:bidi="ar-SA"/>
        </w:rPr>
        <w:t xml:space="preserve">The appearance and behaviour of mice dosed with honey spiked with tutin or with naturally-contaminated honey were normal, and did not differ from those of the control animals. Body weight gains of the test animals during the 14-day observation period did not differ from those of controls and no statistically significant differences </w:t>
      </w:r>
      <w:r w:rsidR="00AA6014">
        <w:rPr>
          <w:rFonts w:cs="Arial"/>
          <w:color w:val="000000"/>
          <w:lang w:bidi="ar-SA"/>
        </w:rPr>
        <w:t>(</w:t>
      </w:r>
      <w:r w:rsidR="00AA6014" w:rsidRPr="00C46C9B">
        <w:rPr>
          <w:rFonts w:cs="Arial"/>
          <w:i/>
          <w:color w:val="000000"/>
          <w:lang w:bidi="ar-SA"/>
        </w:rPr>
        <w:t>p</w:t>
      </w:r>
      <w:r w:rsidR="00AA6014">
        <w:rPr>
          <w:rFonts w:cs="Arial"/>
          <w:color w:val="000000"/>
          <w:lang w:bidi="ar-SA"/>
        </w:rPr>
        <w:t xml:space="preserve"> &lt; 0.05) </w:t>
      </w:r>
      <w:r w:rsidRPr="00923403">
        <w:rPr>
          <w:rFonts w:cs="Arial"/>
          <w:color w:val="000000"/>
          <w:lang w:bidi="ar-SA"/>
        </w:rPr>
        <w:t xml:space="preserve">in bodyweight-relative organ weights, weights of stomach contents or blood packed cell volumes were observed </w:t>
      </w:r>
      <w:r w:rsidR="00AA6014">
        <w:rPr>
          <w:rFonts w:cs="Arial"/>
          <w:color w:val="000000"/>
          <w:lang w:bidi="ar-SA"/>
        </w:rPr>
        <w:t>between</w:t>
      </w:r>
      <w:r w:rsidRPr="00923403">
        <w:rPr>
          <w:rFonts w:cs="Arial"/>
          <w:color w:val="000000"/>
          <w:lang w:bidi="ar-SA"/>
        </w:rPr>
        <w:t xml:space="preserve"> the treatment groups.</w:t>
      </w:r>
    </w:p>
    <w:p w:rsidR="00A128B3" w:rsidRPr="00A128B3" w:rsidRDefault="00885031" w:rsidP="00BC4D1D">
      <w:pPr>
        <w:pStyle w:val="Heading3"/>
      </w:pPr>
      <w:bookmarkStart w:id="27" w:name="_Toc360028609"/>
      <w:bookmarkStart w:id="28" w:name="_Toc401143920"/>
      <w:r>
        <w:t>2</w:t>
      </w:r>
      <w:r w:rsidR="00A128B3" w:rsidRPr="00A128B3">
        <w:t>.2.4</w:t>
      </w:r>
      <w:r w:rsidR="00A128B3" w:rsidRPr="00A128B3">
        <w:tab/>
      </w:r>
      <w:r w:rsidR="00307A70">
        <w:t>Short-t</w:t>
      </w:r>
      <w:r w:rsidR="00ED22D7">
        <w:t xml:space="preserve">erm </w:t>
      </w:r>
      <w:r w:rsidR="00307A70">
        <w:t>r</w:t>
      </w:r>
      <w:r w:rsidR="00A128B3" w:rsidRPr="00A128B3">
        <w:t>epeat-</w:t>
      </w:r>
      <w:r w:rsidR="00307A70">
        <w:t>d</w:t>
      </w:r>
      <w:r w:rsidR="00A128B3" w:rsidRPr="00A128B3">
        <w:t xml:space="preserve">ose </w:t>
      </w:r>
      <w:r w:rsidR="00307A70">
        <w:t>t</w:t>
      </w:r>
      <w:r w:rsidR="00A128B3" w:rsidRPr="00A128B3">
        <w:t xml:space="preserve">oxicity </w:t>
      </w:r>
      <w:r w:rsidR="00307A70">
        <w:t>s</w:t>
      </w:r>
      <w:r w:rsidR="00A128B3" w:rsidRPr="00A128B3">
        <w:t>tudies</w:t>
      </w:r>
      <w:bookmarkEnd w:id="27"/>
      <w:bookmarkEnd w:id="28"/>
    </w:p>
    <w:tbl>
      <w:tblPr>
        <w:tblStyle w:val="TableGrid3"/>
        <w:tblW w:w="0" w:type="auto"/>
        <w:tblLook w:val="04A0" w:firstRow="1" w:lastRow="0" w:firstColumn="1" w:lastColumn="0" w:noHBand="0" w:noVBand="1"/>
      </w:tblPr>
      <w:tblGrid>
        <w:gridCol w:w="9242"/>
      </w:tblGrid>
      <w:tr w:rsidR="002C2DE5" w:rsidRPr="002C2DE5" w:rsidTr="002C2DE5">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DE5" w:rsidRPr="002C2DE5" w:rsidRDefault="002C2DE5" w:rsidP="002C2DE5">
            <w:pPr>
              <w:spacing w:before="40" w:after="40"/>
              <w:rPr>
                <w:rFonts w:eastAsia="Times New Roman" w:cs="Arial"/>
                <w:color w:val="000000"/>
                <w:sz w:val="20"/>
                <w:szCs w:val="20"/>
                <w:lang w:bidi="ar-SA"/>
              </w:rPr>
            </w:pPr>
            <w:r w:rsidRPr="002C2DE5">
              <w:rPr>
                <w:rFonts w:cs="Arial"/>
                <w:color w:val="000000"/>
                <w:sz w:val="20"/>
                <w:szCs w:val="20"/>
                <w:lang w:bidi="ar-SA"/>
              </w:rPr>
              <w:t>Munday (2009)</w:t>
            </w:r>
            <w:r w:rsidRPr="002C2DE5">
              <w:rPr>
                <w:sz w:val="20"/>
                <w:szCs w:val="20"/>
                <w:lang w:bidi="ar-SA"/>
              </w:rPr>
              <w:t xml:space="preserve"> </w:t>
            </w:r>
            <w:r w:rsidRPr="002C2DE5">
              <w:rPr>
                <w:rFonts w:cs="Arial"/>
                <w:color w:val="000000"/>
                <w:sz w:val="20"/>
                <w:szCs w:val="20"/>
                <w:lang w:bidi="ar-SA"/>
              </w:rPr>
              <w:t>Cumulative toxicity of tutin in mice.</w:t>
            </w:r>
            <w:r w:rsidRPr="002C2DE5">
              <w:rPr>
                <w:lang w:bidi="ar-SA"/>
              </w:rPr>
              <w:t xml:space="preserve"> </w:t>
            </w:r>
            <w:r w:rsidRPr="002C2DE5">
              <w:rPr>
                <w:rFonts w:cs="Arial"/>
                <w:color w:val="000000"/>
                <w:sz w:val="20"/>
                <w:szCs w:val="20"/>
                <w:lang w:bidi="ar-SA"/>
              </w:rPr>
              <w:t xml:space="preserve">Unpublished report.  </w:t>
            </w:r>
            <w:r w:rsidRPr="002C2DE5">
              <w:rPr>
                <w:rFonts w:cs="Arial"/>
                <w:b/>
                <w:color w:val="000000"/>
                <w:sz w:val="20"/>
                <w:szCs w:val="20"/>
                <w:lang w:bidi="ar-SA"/>
              </w:rPr>
              <w:t>Lab</w:t>
            </w:r>
            <w:r w:rsidRPr="002C2DE5">
              <w:rPr>
                <w:rFonts w:cs="Arial"/>
                <w:color w:val="000000"/>
                <w:sz w:val="20"/>
                <w:szCs w:val="20"/>
                <w:lang w:bidi="ar-SA"/>
              </w:rPr>
              <w:t xml:space="preserve">: AgResearch, Hamilton, New Zealand. </w:t>
            </w:r>
            <w:r w:rsidRPr="002C2DE5">
              <w:rPr>
                <w:rFonts w:cs="Arial"/>
                <w:b/>
                <w:color w:val="000000"/>
                <w:sz w:val="20"/>
                <w:szCs w:val="20"/>
                <w:lang w:bidi="ar-SA"/>
              </w:rPr>
              <w:t>Date</w:t>
            </w:r>
            <w:r w:rsidRPr="002C2DE5">
              <w:rPr>
                <w:rFonts w:cs="Arial"/>
                <w:color w:val="000000"/>
                <w:sz w:val="20"/>
                <w:szCs w:val="20"/>
                <w:lang w:bidi="ar-SA"/>
              </w:rPr>
              <w:t xml:space="preserve">: October 2009. </w:t>
            </w:r>
            <w:r w:rsidRPr="002C2DE5">
              <w:rPr>
                <w:rFonts w:cs="Arial"/>
                <w:b/>
                <w:color w:val="000000"/>
                <w:sz w:val="20"/>
                <w:szCs w:val="20"/>
                <w:lang w:bidi="ar-SA"/>
              </w:rPr>
              <w:t>GLP</w:t>
            </w:r>
            <w:r w:rsidRPr="002C2DE5">
              <w:rPr>
                <w:rFonts w:cs="Arial"/>
                <w:color w:val="000000"/>
                <w:sz w:val="20"/>
                <w:szCs w:val="20"/>
                <w:lang w:bidi="ar-SA"/>
              </w:rPr>
              <w:t>: No.</w:t>
            </w:r>
          </w:p>
        </w:tc>
      </w:tr>
    </w:tbl>
    <w:p w:rsidR="002C2DE5" w:rsidRPr="002C2DE5" w:rsidRDefault="002C2DE5" w:rsidP="002C2DE5">
      <w:pPr>
        <w:widowControl/>
        <w:rPr>
          <w:rFonts w:cs="Arial"/>
          <w:lang w:bidi="ar-SA"/>
        </w:rPr>
      </w:pPr>
    </w:p>
    <w:p w:rsidR="002C2DE5" w:rsidRPr="002C2DE5" w:rsidRDefault="002C2DE5" w:rsidP="002C2DE5">
      <w:pPr>
        <w:widowControl/>
        <w:rPr>
          <w:rFonts w:cs="Arial"/>
          <w:lang w:bidi="ar-SA"/>
        </w:rPr>
      </w:pPr>
      <w:r w:rsidRPr="002C2DE5">
        <w:rPr>
          <w:rFonts w:cs="Arial"/>
          <w:lang w:bidi="ar-SA"/>
        </w:rPr>
        <w:t xml:space="preserve">The same purified </w:t>
      </w:r>
      <w:r w:rsidRPr="002C2DE5">
        <w:rPr>
          <w:lang w:bidi="ar-SA"/>
        </w:rPr>
        <w:t xml:space="preserve">tutin sample that was used in the </w:t>
      </w:r>
      <w:r w:rsidR="00791F77">
        <w:rPr>
          <w:lang w:bidi="ar-SA"/>
        </w:rPr>
        <w:t>Munday (2010</w:t>
      </w:r>
      <w:r w:rsidRPr="002C2DE5">
        <w:rPr>
          <w:lang w:bidi="ar-SA"/>
        </w:rPr>
        <w:t xml:space="preserve">) </w:t>
      </w:r>
      <w:r w:rsidR="00791F77">
        <w:rPr>
          <w:lang w:bidi="ar-SA"/>
        </w:rPr>
        <w:t xml:space="preserve">study, above, </w:t>
      </w:r>
      <w:r w:rsidRPr="002C2DE5">
        <w:rPr>
          <w:lang w:bidi="ar-SA"/>
        </w:rPr>
        <w:t>was administered daily by gavage at a dose of 1 mg/kg bw to female Swiss albino mice for one to five days.</w:t>
      </w:r>
      <w:r w:rsidR="00075B75">
        <w:rPr>
          <w:lang w:bidi="ar-SA"/>
        </w:rPr>
        <w:t xml:space="preserve"> The dose of 1 mg/kg bw</w:t>
      </w:r>
      <w:r w:rsidRPr="002C2DE5">
        <w:rPr>
          <w:lang w:bidi="ar-SA"/>
        </w:rPr>
        <w:t xml:space="preserve"> is approximately 5-fold lower than the LD</w:t>
      </w:r>
      <w:r w:rsidRPr="002C2DE5">
        <w:rPr>
          <w:vertAlign w:val="subscript"/>
          <w:lang w:bidi="ar-SA"/>
        </w:rPr>
        <w:t>50</w:t>
      </w:r>
      <w:r w:rsidRPr="002C2DE5">
        <w:rPr>
          <w:lang w:bidi="ar-SA"/>
        </w:rPr>
        <w:t xml:space="preserve"> and 4-fold greater than the acute NOAEL determined by Munday (2008a). Mice, of initial body weight between 19 and 24 g, were randomly allocated to 7 treatment groups, each containing 5 mice, as follows:</w:t>
      </w:r>
    </w:p>
    <w:p w:rsidR="002C2DE5" w:rsidRPr="002C2DE5" w:rsidRDefault="002C2DE5" w:rsidP="002C2DE5">
      <w:pPr>
        <w:widowControl/>
        <w:rPr>
          <w:lang w:bidi="ar-SA"/>
        </w:rPr>
      </w:pPr>
    </w:p>
    <w:p w:rsidR="002C2DE5" w:rsidRPr="002C2DE5" w:rsidRDefault="002C2DE5" w:rsidP="002C2DE5">
      <w:pPr>
        <w:widowControl/>
        <w:rPr>
          <w:sz w:val="20"/>
          <w:szCs w:val="20"/>
          <w:lang w:bidi="ar-SA"/>
        </w:rPr>
      </w:pPr>
      <w:r w:rsidRPr="002C2DE5">
        <w:rPr>
          <w:lang w:bidi="ar-SA"/>
        </w:rPr>
        <w:tab/>
      </w:r>
      <w:r w:rsidRPr="002C2DE5">
        <w:rPr>
          <w:sz w:val="20"/>
          <w:szCs w:val="20"/>
          <w:lang w:bidi="ar-SA"/>
        </w:rPr>
        <w:t xml:space="preserve">Group 1: </w:t>
      </w:r>
      <w:r w:rsidR="00791F77">
        <w:rPr>
          <w:sz w:val="20"/>
          <w:szCs w:val="20"/>
          <w:lang w:bidi="ar-SA"/>
        </w:rPr>
        <w:t>Vehicle control (d</w:t>
      </w:r>
      <w:r w:rsidRPr="002C2DE5">
        <w:rPr>
          <w:sz w:val="20"/>
          <w:szCs w:val="20"/>
          <w:lang w:bidi="ar-SA"/>
        </w:rPr>
        <w:t>aily doses of water for 5 days</w:t>
      </w:r>
      <w:r w:rsidR="00791F77">
        <w:rPr>
          <w:sz w:val="20"/>
          <w:szCs w:val="20"/>
          <w:lang w:bidi="ar-SA"/>
        </w:rPr>
        <w:t>)</w:t>
      </w:r>
      <w:r w:rsidRPr="002C2DE5">
        <w:rPr>
          <w:sz w:val="20"/>
          <w:szCs w:val="20"/>
          <w:lang w:bidi="ar-SA"/>
        </w:rPr>
        <w:t>.</w:t>
      </w:r>
    </w:p>
    <w:p w:rsidR="00680F3A" w:rsidRDefault="002C2DE5" w:rsidP="002C2DE5">
      <w:pPr>
        <w:widowControl/>
        <w:rPr>
          <w:sz w:val="20"/>
          <w:szCs w:val="20"/>
          <w:lang w:bidi="ar-SA"/>
        </w:rPr>
      </w:pPr>
      <w:r w:rsidRPr="002C2DE5">
        <w:rPr>
          <w:sz w:val="20"/>
          <w:szCs w:val="20"/>
          <w:lang w:bidi="ar-SA"/>
        </w:rPr>
        <w:tab/>
        <w:t>Group 2: One dose of tutin per day for 5 days.</w:t>
      </w:r>
      <w:r w:rsidR="00680F3A">
        <w:rPr>
          <w:sz w:val="20"/>
          <w:szCs w:val="20"/>
          <w:lang w:bidi="ar-SA"/>
        </w:rPr>
        <w:br w:type="page"/>
      </w:r>
    </w:p>
    <w:p w:rsidR="002C2DE5" w:rsidRPr="002C2DE5" w:rsidRDefault="002C2DE5" w:rsidP="002C2DE5">
      <w:pPr>
        <w:widowControl/>
        <w:rPr>
          <w:sz w:val="20"/>
          <w:szCs w:val="20"/>
          <w:lang w:bidi="ar-SA"/>
        </w:rPr>
      </w:pPr>
      <w:r w:rsidRPr="002C2DE5">
        <w:rPr>
          <w:sz w:val="20"/>
          <w:szCs w:val="20"/>
          <w:lang w:bidi="ar-SA"/>
        </w:rPr>
        <w:lastRenderedPageBreak/>
        <w:tab/>
        <w:t>Group 3. One dose of tutin per day for 4 days.</w:t>
      </w:r>
    </w:p>
    <w:p w:rsidR="002C2DE5" w:rsidRPr="002C2DE5" w:rsidRDefault="002C2DE5" w:rsidP="002C2DE5">
      <w:pPr>
        <w:widowControl/>
        <w:rPr>
          <w:sz w:val="20"/>
          <w:szCs w:val="20"/>
          <w:lang w:bidi="ar-SA"/>
        </w:rPr>
      </w:pPr>
      <w:r w:rsidRPr="002C2DE5">
        <w:rPr>
          <w:sz w:val="20"/>
          <w:szCs w:val="20"/>
          <w:lang w:bidi="ar-SA"/>
        </w:rPr>
        <w:tab/>
        <w:t>Group 4. One dose of tutin per day for 3 days.</w:t>
      </w:r>
    </w:p>
    <w:p w:rsidR="002C2DE5" w:rsidRPr="002C2DE5" w:rsidRDefault="002C2DE5" w:rsidP="002C2DE5">
      <w:pPr>
        <w:widowControl/>
        <w:rPr>
          <w:sz w:val="20"/>
          <w:szCs w:val="20"/>
          <w:lang w:bidi="ar-SA"/>
        </w:rPr>
      </w:pPr>
      <w:r w:rsidRPr="002C2DE5">
        <w:rPr>
          <w:sz w:val="20"/>
          <w:szCs w:val="20"/>
          <w:lang w:bidi="ar-SA"/>
        </w:rPr>
        <w:tab/>
        <w:t>Group 5. One dose of tutin per day for 2 days.</w:t>
      </w:r>
    </w:p>
    <w:p w:rsidR="002C2DE5" w:rsidRPr="002C2DE5" w:rsidRDefault="002C2DE5" w:rsidP="002C2DE5">
      <w:pPr>
        <w:widowControl/>
        <w:rPr>
          <w:sz w:val="20"/>
          <w:szCs w:val="20"/>
          <w:lang w:bidi="ar-SA"/>
        </w:rPr>
      </w:pPr>
      <w:r w:rsidRPr="002C2DE5">
        <w:rPr>
          <w:sz w:val="20"/>
          <w:szCs w:val="20"/>
          <w:lang w:bidi="ar-SA"/>
        </w:rPr>
        <w:tab/>
        <w:t>Group 6. A single dose of tutin.</w:t>
      </w:r>
    </w:p>
    <w:p w:rsidR="002C2DE5" w:rsidRPr="002C2DE5" w:rsidRDefault="002C2DE5" w:rsidP="002C2DE5">
      <w:pPr>
        <w:widowControl/>
        <w:rPr>
          <w:sz w:val="20"/>
          <w:szCs w:val="20"/>
          <w:lang w:bidi="ar-SA"/>
        </w:rPr>
      </w:pPr>
      <w:r w:rsidRPr="002C2DE5">
        <w:rPr>
          <w:sz w:val="20"/>
          <w:szCs w:val="20"/>
          <w:lang w:bidi="ar-SA"/>
        </w:rPr>
        <w:tab/>
        <w:t>Group 7. Untreated control.</w:t>
      </w:r>
    </w:p>
    <w:p w:rsidR="002C2DE5" w:rsidRPr="002C2DE5" w:rsidRDefault="002C2DE5" w:rsidP="002C2DE5">
      <w:pPr>
        <w:widowControl/>
        <w:rPr>
          <w:lang w:bidi="ar-SA"/>
        </w:rPr>
      </w:pPr>
    </w:p>
    <w:p w:rsidR="002C2DE5" w:rsidRPr="002C2DE5" w:rsidRDefault="002C2DE5" w:rsidP="002C2DE5">
      <w:pPr>
        <w:widowControl/>
        <w:rPr>
          <w:lang w:bidi="ar-SA"/>
        </w:rPr>
      </w:pPr>
      <w:r w:rsidRPr="002C2DE5">
        <w:rPr>
          <w:lang w:bidi="ar-SA"/>
        </w:rPr>
        <w:t>During the dosing period, all mice were examined and weighed daily. Mice in Group 1 received 200 µL of water by gavage. Mice in Groups 2-6 were dosed by gavage with tutin solution (0.4 mg/mL in water) at a dose volume of 50 µL per 20 g body weight, made up to 200 µL with water. This equates to a tutin dose of 1 mg/kg bw. Mice in Group 7 were weighed but not dosed. After the period of dosing, mice were weighed each day for 14 days. They were then killed and necropsied. After gross examination, the liver, kidneys, spleen, heart, lungs and brain of each mouse were weighed. Histological examination of the organs was not conducted.</w:t>
      </w:r>
    </w:p>
    <w:p w:rsidR="002C2DE5" w:rsidRPr="002C2DE5" w:rsidRDefault="002C2DE5" w:rsidP="002C2DE5">
      <w:pPr>
        <w:widowControl/>
        <w:rPr>
          <w:rFonts w:cs="Arial"/>
          <w:lang w:bidi="ar-SA"/>
        </w:rPr>
      </w:pPr>
    </w:p>
    <w:p w:rsidR="002C2DE5" w:rsidRPr="002C2DE5" w:rsidRDefault="002C2DE5" w:rsidP="002C2DE5">
      <w:pPr>
        <w:widowControl/>
        <w:rPr>
          <w:lang w:bidi="ar-SA"/>
        </w:rPr>
      </w:pPr>
      <w:r w:rsidRPr="002C2DE5">
        <w:rPr>
          <w:lang w:bidi="ar-SA"/>
        </w:rPr>
        <w:t>After the first dose of tutin, the mice exhibited increased activity, but after 5-7 min they became lethargic and exhibited abdominal breathing. The mice showed little movement and little response to stimulation over the next hour. Their condition subsequently improved and by 1.5 h after dosing the clinical signs had resolved and all animals remained normal throughout the day of observation. Control mice gavaged with water showed hyperactivity after dosing, but this resolved within 10 min. The following day, all mice appeared normal, and the body weights of the mice dosed with tutin were not significantly different from those of control mice.</w:t>
      </w:r>
    </w:p>
    <w:p w:rsidR="002C2DE5" w:rsidRPr="002C2DE5" w:rsidRDefault="002C2DE5" w:rsidP="002C2DE5">
      <w:pPr>
        <w:widowControl/>
        <w:rPr>
          <w:lang w:bidi="ar-SA"/>
        </w:rPr>
      </w:pPr>
    </w:p>
    <w:p w:rsidR="002C2DE5" w:rsidRPr="002C2DE5" w:rsidRDefault="002C2DE5" w:rsidP="002C2DE5">
      <w:pPr>
        <w:widowControl/>
        <w:rPr>
          <w:lang w:bidi="ar-SA"/>
        </w:rPr>
      </w:pPr>
      <w:r w:rsidRPr="002C2DE5">
        <w:rPr>
          <w:lang w:bidi="ar-SA"/>
        </w:rPr>
        <w:t xml:space="preserve">Animals receiving a second dose of tutin showed signs of intoxication similar to those observed after the first dose. There were no perceptible differences in the severity of the </w:t>
      </w:r>
      <w:r w:rsidR="00203992">
        <w:rPr>
          <w:lang w:bidi="ar-SA"/>
        </w:rPr>
        <w:t>effects</w:t>
      </w:r>
      <w:r w:rsidRPr="002C2DE5">
        <w:rPr>
          <w:lang w:bidi="ar-SA"/>
        </w:rPr>
        <w:t xml:space="preserve"> or in the time to recovery. After recovery, the appearance and behaviour of the animals were normal throughout the day of dosing and on the next day, and there was no effect on body weight.</w:t>
      </w:r>
    </w:p>
    <w:p w:rsidR="002C2DE5" w:rsidRPr="002C2DE5" w:rsidRDefault="002C2DE5" w:rsidP="002C2DE5">
      <w:pPr>
        <w:widowControl/>
        <w:rPr>
          <w:lang w:bidi="ar-SA"/>
        </w:rPr>
      </w:pPr>
    </w:p>
    <w:p w:rsidR="002C2DE5" w:rsidRPr="002C2DE5" w:rsidRDefault="002C2DE5" w:rsidP="002C2DE5">
      <w:pPr>
        <w:widowControl/>
        <w:rPr>
          <w:lang w:bidi="ar-SA"/>
        </w:rPr>
      </w:pPr>
      <w:r w:rsidRPr="002C2DE5">
        <w:rPr>
          <w:lang w:bidi="ar-SA"/>
        </w:rPr>
        <w:t>Mice dosed thre</w:t>
      </w:r>
      <w:r w:rsidR="00203992">
        <w:rPr>
          <w:lang w:bidi="ar-SA"/>
        </w:rPr>
        <w:t xml:space="preserve">e times with tutin showed </w:t>
      </w:r>
      <w:r w:rsidRPr="002C2DE5">
        <w:rPr>
          <w:lang w:bidi="ar-SA"/>
        </w:rPr>
        <w:t xml:space="preserve">effects of similar severity and duration to those seen after a single dose, and after recovery their appearance and behaviour were normal throughout the day of dosing and </w:t>
      </w:r>
      <w:r w:rsidR="00203992">
        <w:rPr>
          <w:lang w:bidi="ar-SA"/>
        </w:rPr>
        <w:t xml:space="preserve">on the following day. </w:t>
      </w:r>
      <w:r w:rsidR="00A05677">
        <w:rPr>
          <w:lang w:bidi="ar-SA"/>
        </w:rPr>
        <w:t>In contrast, t</w:t>
      </w:r>
      <w:r w:rsidR="00203992">
        <w:rPr>
          <w:lang w:bidi="ar-SA"/>
        </w:rPr>
        <w:t xml:space="preserve">he </w:t>
      </w:r>
      <w:r w:rsidRPr="002C2DE5">
        <w:rPr>
          <w:lang w:bidi="ar-SA"/>
        </w:rPr>
        <w:t xml:space="preserve">effects </w:t>
      </w:r>
      <w:r w:rsidR="00A05677">
        <w:rPr>
          <w:lang w:bidi="ar-SA"/>
        </w:rPr>
        <w:t>observed</w:t>
      </w:r>
      <w:r w:rsidRPr="002C2DE5">
        <w:rPr>
          <w:lang w:bidi="ar-SA"/>
        </w:rPr>
        <w:t xml:space="preserve"> in mice dosed </w:t>
      </w:r>
      <w:r w:rsidR="00A05677">
        <w:rPr>
          <w:lang w:bidi="ar-SA"/>
        </w:rPr>
        <w:t xml:space="preserve">with tutin on </w:t>
      </w:r>
      <w:r w:rsidRPr="002C2DE5">
        <w:rPr>
          <w:lang w:bidi="ar-SA"/>
        </w:rPr>
        <w:t xml:space="preserve">4 or 5 </w:t>
      </w:r>
      <w:r w:rsidR="00A05677">
        <w:rPr>
          <w:lang w:bidi="ar-SA"/>
        </w:rPr>
        <w:t xml:space="preserve">consecutive days </w:t>
      </w:r>
      <w:r w:rsidRPr="002C2DE5">
        <w:rPr>
          <w:lang w:bidi="ar-SA"/>
        </w:rPr>
        <w:t xml:space="preserve">were </w:t>
      </w:r>
      <w:r w:rsidR="00551CF2">
        <w:rPr>
          <w:lang w:bidi="ar-SA"/>
        </w:rPr>
        <w:t xml:space="preserve">reported to be </w:t>
      </w:r>
      <w:r w:rsidRPr="002C2DE5">
        <w:rPr>
          <w:lang w:bidi="ar-SA"/>
        </w:rPr>
        <w:t xml:space="preserve">noticeably less than those in animals receiving </w:t>
      </w:r>
      <w:r w:rsidR="00A05677">
        <w:rPr>
          <w:lang w:bidi="ar-SA"/>
        </w:rPr>
        <w:t>a single dose or two to three consecutive doses</w:t>
      </w:r>
      <w:r w:rsidRPr="002C2DE5">
        <w:rPr>
          <w:lang w:bidi="ar-SA"/>
        </w:rPr>
        <w:t>, and recovery occurred within an hour after dosing. Again, the appearance and behaviour of the animals was subsequently normal, and their body weights did not differ from those of control mice.</w:t>
      </w:r>
    </w:p>
    <w:p w:rsidR="002C2DE5" w:rsidRPr="002C2DE5" w:rsidRDefault="002C2DE5" w:rsidP="002C2DE5">
      <w:pPr>
        <w:widowControl/>
        <w:rPr>
          <w:lang w:bidi="ar-SA"/>
        </w:rPr>
      </w:pPr>
    </w:p>
    <w:p w:rsidR="002C2DE5" w:rsidRPr="002C2DE5" w:rsidRDefault="002C2DE5" w:rsidP="002C2DE5">
      <w:pPr>
        <w:widowControl/>
        <w:rPr>
          <w:lang w:bidi="ar-SA"/>
        </w:rPr>
      </w:pPr>
      <w:r w:rsidRPr="002C2DE5">
        <w:rPr>
          <w:lang w:bidi="ar-SA"/>
        </w:rPr>
        <w:t>There were no unscheduled deaths during the study. The appearance and behaviour of the mice during the 14-day observation period after dosing were normal, and there were no significant differences in body weight among the test and control animals at any time point. No abnormalities were observed at necropsy. There were no differences among the treatment groups with regard to relative organ weights.</w:t>
      </w:r>
    </w:p>
    <w:p w:rsidR="002C2DE5" w:rsidRPr="002C2DE5" w:rsidRDefault="002C2DE5" w:rsidP="002C2DE5">
      <w:pPr>
        <w:widowControl/>
        <w:rPr>
          <w:rFonts w:cs="Arial"/>
          <w:lang w:bidi="ar-SA"/>
        </w:rPr>
      </w:pPr>
    </w:p>
    <w:p w:rsidR="002C2DE5" w:rsidRPr="002C2DE5" w:rsidRDefault="002C2DE5" w:rsidP="002C2DE5">
      <w:pPr>
        <w:widowControl/>
        <w:rPr>
          <w:lang w:bidi="ar-SA"/>
        </w:rPr>
      </w:pPr>
      <w:r w:rsidRPr="002C2DE5">
        <w:rPr>
          <w:lang w:bidi="ar-SA"/>
        </w:rPr>
        <w:t>The observation of decreased signs of toxicity in mice receiving 4 or 5 consecutive doses of tutin suggests that tolerance to tutin may develop after repeated oral exposure.</w:t>
      </w:r>
    </w:p>
    <w:p w:rsidR="00ED22D7" w:rsidRDefault="00ED22D7" w:rsidP="00BC4D1D">
      <w:pPr>
        <w:pStyle w:val="Heading3"/>
      </w:pPr>
      <w:bookmarkStart w:id="29" w:name="_Toc401143921"/>
      <w:r>
        <w:t>2.2.5</w:t>
      </w:r>
      <w:r>
        <w:tab/>
        <w:t>Sub</w:t>
      </w:r>
      <w:r w:rsidR="0076178E">
        <w:t>-</w:t>
      </w:r>
      <w:r w:rsidR="00307A70">
        <w:t>chronic toxicity s</w:t>
      </w:r>
      <w:r>
        <w:t>tudies</w:t>
      </w:r>
      <w:bookmarkEnd w:id="29"/>
    </w:p>
    <w:p w:rsidR="002C2DE5" w:rsidRPr="002C2DE5" w:rsidRDefault="002C2DE5" w:rsidP="002C2DE5">
      <w:pPr>
        <w:widowControl/>
        <w:rPr>
          <w:lang w:bidi="ar-SA"/>
        </w:rPr>
      </w:pPr>
      <w:r w:rsidRPr="002C2DE5">
        <w:rPr>
          <w:lang w:bidi="ar-SA"/>
        </w:rPr>
        <w:t>No data are available.</w:t>
      </w:r>
    </w:p>
    <w:p w:rsidR="00ED22D7" w:rsidRDefault="00307A70" w:rsidP="00BC4D1D">
      <w:pPr>
        <w:pStyle w:val="Heading3"/>
      </w:pPr>
      <w:bookmarkStart w:id="30" w:name="_Toc401143922"/>
      <w:r>
        <w:t>2.2.6</w:t>
      </w:r>
      <w:r>
        <w:tab/>
        <w:t>Chronic toxicity and c</w:t>
      </w:r>
      <w:r w:rsidR="00ED22D7">
        <w:t xml:space="preserve">arcinogenicity </w:t>
      </w:r>
      <w:r>
        <w:t>s</w:t>
      </w:r>
      <w:r w:rsidR="00ED22D7">
        <w:t>tudies</w:t>
      </w:r>
      <w:bookmarkEnd w:id="30"/>
    </w:p>
    <w:p w:rsidR="00680F3A" w:rsidRDefault="00ED22D7" w:rsidP="002C2DE5">
      <w:pPr>
        <w:widowControl/>
        <w:rPr>
          <w:lang w:bidi="ar-SA"/>
        </w:rPr>
      </w:pPr>
      <w:r w:rsidRPr="00ED22D7">
        <w:rPr>
          <w:lang w:bidi="ar-SA"/>
        </w:rPr>
        <w:t>No data are available.</w:t>
      </w:r>
      <w:r w:rsidR="00680F3A">
        <w:rPr>
          <w:lang w:bidi="ar-SA"/>
        </w:rPr>
        <w:br w:type="page"/>
      </w:r>
    </w:p>
    <w:p w:rsidR="002C2DE5" w:rsidRPr="00C46C9B" w:rsidRDefault="00ED22D7" w:rsidP="00BC4D1D">
      <w:pPr>
        <w:pStyle w:val="Heading3"/>
      </w:pPr>
      <w:bookmarkStart w:id="31" w:name="_Toc401143923"/>
      <w:r w:rsidRPr="00C46C9B">
        <w:lastRenderedPageBreak/>
        <w:t>2.2.7</w:t>
      </w:r>
      <w:r w:rsidRPr="00C46C9B">
        <w:tab/>
      </w:r>
      <w:r w:rsidR="002C2DE5" w:rsidRPr="00C46C9B">
        <w:t>Genotoxicity</w:t>
      </w:r>
      <w:r w:rsidR="00307A70">
        <w:t xml:space="preserve"> s</w:t>
      </w:r>
      <w:r w:rsidRPr="00C46C9B">
        <w:t>tudies</w:t>
      </w:r>
      <w:bookmarkEnd w:id="31"/>
    </w:p>
    <w:tbl>
      <w:tblPr>
        <w:tblStyle w:val="TableGrid3"/>
        <w:tblW w:w="0" w:type="auto"/>
        <w:tblLook w:val="04A0" w:firstRow="1" w:lastRow="0" w:firstColumn="1" w:lastColumn="0" w:noHBand="0" w:noVBand="1"/>
      </w:tblPr>
      <w:tblGrid>
        <w:gridCol w:w="9242"/>
      </w:tblGrid>
      <w:tr w:rsidR="002C2DE5" w:rsidRPr="002C2DE5" w:rsidTr="002C2DE5">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DE5" w:rsidRPr="002C2DE5" w:rsidRDefault="002C2DE5" w:rsidP="002C2DE5">
            <w:pPr>
              <w:spacing w:before="40" w:after="40"/>
              <w:rPr>
                <w:rFonts w:eastAsia="Times New Roman" w:cs="Arial"/>
                <w:color w:val="000000"/>
                <w:sz w:val="20"/>
                <w:szCs w:val="20"/>
                <w:lang w:bidi="ar-SA"/>
              </w:rPr>
            </w:pPr>
            <w:r w:rsidRPr="002C2DE5">
              <w:rPr>
                <w:rFonts w:cs="Arial"/>
                <w:color w:val="000000"/>
                <w:sz w:val="20"/>
                <w:szCs w:val="20"/>
                <w:lang w:bidi="ar-SA"/>
              </w:rPr>
              <w:t xml:space="preserve">Pagnon J, Karunasinghe N, Ferguson LR (2009) </w:t>
            </w:r>
            <w:r w:rsidRPr="002C2DE5">
              <w:rPr>
                <w:rFonts w:cs="Arial"/>
                <w:bCs/>
                <w:sz w:val="20"/>
                <w:szCs w:val="20"/>
                <w:lang w:bidi="ar-SA"/>
              </w:rPr>
              <w:t>Genetic Toxicology Report. Ames bacterial mutagenicity tests for tutin and hyenanchin + dihydrohyenanchin.</w:t>
            </w:r>
            <w:r w:rsidRPr="002C2DE5">
              <w:rPr>
                <w:lang w:bidi="ar-SA"/>
              </w:rPr>
              <w:t xml:space="preserve"> </w:t>
            </w:r>
            <w:r w:rsidRPr="002C2DE5">
              <w:rPr>
                <w:rFonts w:cs="Arial"/>
                <w:bCs/>
                <w:sz w:val="20"/>
                <w:szCs w:val="20"/>
                <w:lang w:bidi="ar-SA"/>
              </w:rPr>
              <w:t xml:space="preserve">Unpublished report.  </w:t>
            </w:r>
            <w:r w:rsidRPr="002C2DE5">
              <w:rPr>
                <w:rFonts w:cs="Arial"/>
                <w:b/>
                <w:bCs/>
                <w:sz w:val="20"/>
                <w:szCs w:val="20"/>
                <w:lang w:bidi="ar-SA"/>
              </w:rPr>
              <w:t>Lab</w:t>
            </w:r>
            <w:r w:rsidRPr="002C2DE5">
              <w:rPr>
                <w:rFonts w:cs="Arial"/>
                <w:bCs/>
                <w:sz w:val="20"/>
                <w:szCs w:val="20"/>
                <w:lang w:bidi="ar-SA"/>
              </w:rPr>
              <w:t xml:space="preserve">: Auckland Cancer Society Research Centre, Faculty of Medical and Health Sciences, University of Auckland, New Zealand. </w:t>
            </w:r>
            <w:r w:rsidRPr="002C2DE5">
              <w:rPr>
                <w:rFonts w:cs="Arial"/>
                <w:b/>
                <w:bCs/>
                <w:sz w:val="20"/>
                <w:szCs w:val="20"/>
                <w:lang w:bidi="ar-SA"/>
              </w:rPr>
              <w:t>Date</w:t>
            </w:r>
            <w:r w:rsidRPr="002C2DE5">
              <w:rPr>
                <w:rFonts w:cs="Arial"/>
                <w:bCs/>
                <w:sz w:val="20"/>
                <w:szCs w:val="20"/>
                <w:lang w:bidi="ar-SA"/>
              </w:rPr>
              <w:t xml:space="preserve">: 11 September 2009. </w:t>
            </w:r>
            <w:r w:rsidRPr="002C2DE5">
              <w:rPr>
                <w:rFonts w:cs="Arial"/>
                <w:b/>
                <w:bCs/>
                <w:sz w:val="20"/>
                <w:szCs w:val="20"/>
                <w:lang w:bidi="ar-SA"/>
              </w:rPr>
              <w:t>GLP</w:t>
            </w:r>
            <w:r w:rsidRPr="002C2DE5">
              <w:rPr>
                <w:rFonts w:cs="Arial"/>
                <w:bCs/>
                <w:sz w:val="20"/>
                <w:szCs w:val="20"/>
                <w:lang w:bidi="ar-SA"/>
              </w:rPr>
              <w:t>: No.</w:t>
            </w:r>
          </w:p>
        </w:tc>
      </w:tr>
    </w:tbl>
    <w:p w:rsidR="002C2DE5" w:rsidRPr="002C2DE5" w:rsidRDefault="002C2DE5" w:rsidP="002C2DE5">
      <w:pPr>
        <w:widowControl/>
        <w:autoSpaceDE w:val="0"/>
        <w:autoSpaceDN w:val="0"/>
        <w:adjustRightInd w:val="0"/>
        <w:rPr>
          <w:rFonts w:cs="Arial"/>
          <w:iCs/>
          <w:lang w:bidi="ar-SA"/>
        </w:rPr>
      </w:pPr>
    </w:p>
    <w:p w:rsidR="002C2DE5" w:rsidRPr="002C2DE5" w:rsidRDefault="002C2DE5" w:rsidP="002C2DE5">
      <w:pPr>
        <w:widowControl/>
        <w:autoSpaceDE w:val="0"/>
        <w:autoSpaceDN w:val="0"/>
        <w:adjustRightInd w:val="0"/>
        <w:rPr>
          <w:rFonts w:cs="Arial"/>
          <w:bCs/>
          <w:lang w:bidi="ar-SA"/>
        </w:rPr>
      </w:pPr>
      <w:r w:rsidRPr="002C2DE5">
        <w:rPr>
          <w:rFonts w:cs="Arial"/>
          <w:iCs/>
          <w:lang w:bidi="ar-SA"/>
        </w:rPr>
        <w:t>Tutin</w:t>
      </w:r>
      <w:r w:rsidR="00E45D9F">
        <w:rPr>
          <w:rFonts w:cs="Arial"/>
          <w:iCs/>
          <w:lang w:bidi="ar-SA"/>
        </w:rPr>
        <w:t xml:space="preserve"> was</w:t>
      </w:r>
      <w:r w:rsidRPr="002C2DE5">
        <w:rPr>
          <w:rFonts w:cs="Arial"/>
          <w:bCs/>
          <w:lang w:bidi="ar-SA"/>
        </w:rPr>
        <w:t xml:space="preserve"> tested for mutagenic activity in bacterial reverse mutation assays (Ames tests) using </w:t>
      </w:r>
      <w:r w:rsidRPr="002C2DE5">
        <w:rPr>
          <w:rFonts w:cs="Arial"/>
          <w:bCs/>
          <w:i/>
          <w:lang w:bidi="ar-SA"/>
        </w:rPr>
        <w:t>Salmonella typhimurium</w:t>
      </w:r>
      <w:r w:rsidRPr="002C2DE5">
        <w:rPr>
          <w:rFonts w:cs="Arial"/>
          <w:bCs/>
          <w:lang w:bidi="ar-SA"/>
        </w:rPr>
        <w:t xml:space="preserve"> strains TA98, TA100, TA102, TA1535 and TA1537. Plate incubations were conducted both in the absence and presence of S9 metabolising mixture produced from the livers of Aroclor 1254-induced rats (male Sprague-Dawley). Mutagenicity assays were conducted in triplicate. For all </w:t>
      </w:r>
      <w:r w:rsidRPr="002C2DE5">
        <w:rPr>
          <w:rFonts w:cs="Arial"/>
          <w:bCs/>
          <w:i/>
          <w:lang w:bidi="ar-SA"/>
        </w:rPr>
        <w:t>S. typhimurium</w:t>
      </w:r>
      <w:r w:rsidRPr="002C2DE5">
        <w:rPr>
          <w:rFonts w:cs="Arial"/>
          <w:bCs/>
          <w:lang w:bidi="ar-SA"/>
        </w:rPr>
        <w:t xml:space="preserve"> strains, tutin gave no significant increase in the number of revertant colonies compared to background levels both in the absence or presence of S9. The maximum tested concentration of </w:t>
      </w:r>
      <w:r w:rsidRPr="002C2DE5">
        <w:rPr>
          <w:rFonts w:cs="Arial"/>
          <w:iCs/>
          <w:lang w:bidi="ar-SA"/>
        </w:rPr>
        <w:t xml:space="preserve">tutin and </w:t>
      </w:r>
      <w:r w:rsidRPr="002C2DE5">
        <w:rPr>
          <w:rFonts w:cs="Arial"/>
          <w:bCs/>
          <w:lang w:bidi="ar-SA"/>
        </w:rPr>
        <w:t>hyenanchin + dihydrohyenanchin was 86.7 µg/mL, which corresponds to 375 µg per plate for the small plates used (3 cm diameter). This amount equates to 3 mg per plate for a standard 10 cm plate (8-times the volume of a 3 cm plate) which is similar to the recommended maximum of 5 mg per plate for soluble non-cytotoxic compounds (OECD 1997</w:t>
      </w:r>
      <w:r w:rsidR="00BF19DE">
        <w:rPr>
          <w:rFonts w:cs="Arial"/>
          <w:bCs/>
          <w:lang w:bidi="ar-SA"/>
        </w:rPr>
        <w:t>a</w:t>
      </w:r>
      <w:r w:rsidRPr="002C2DE5">
        <w:rPr>
          <w:rFonts w:cs="Arial"/>
          <w:bCs/>
          <w:lang w:bidi="ar-SA"/>
        </w:rPr>
        <w:t xml:space="preserve">). No cytotoxicity was observed at any of the </w:t>
      </w:r>
      <w:r w:rsidR="00E45D9F">
        <w:rPr>
          <w:rFonts w:cs="Arial"/>
          <w:bCs/>
          <w:lang w:bidi="ar-SA"/>
        </w:rPr>
        <w:t xml:space="preserve">tutin </w:t>
      </w:r>
      <w:r w:rsidRPr="002C2DE5">
        <w:rPr>
          <w:rFonts w:cs="Arial"/>
          <w:bCs/>
          <w:lang w:bidi="ar-SA"/>
        </w:rPr>
        <w:t>concentrations tested</w:t>
      </w:r>
      <w:r w:rsidR="00E45D9F">
        <w:rPr>
          <w:rFonts w:cs="Arial"/>
          <w:bCs/>
          <w:lang w:bidi="ar-SA"/>
        </w:rPr>
        <w:t>.</w:t>
      </w:r>
      <w:r w:rsidRPr="002C2DE5">
        <w:rPr>
          <w:rFonts w:cs="Arial"/>
          <w:bCs/>
          <w:lang w:bidi="ar-SA"/>
        </w:rPr>
        <w:t xml:space="preserve"> Positive control compounds exhibited an expected degree of mutagenic activity except for 2-aminoanthracene used as a positive control for strain TA102 in the presence of S9. </w:t>
      </w:r>
    </w:p>
    <w:p w:rsidR="002C2DE5" w:rsidRPr="002C2DE5" w:rsidRDefault="002C2DE5" w:rsidP="002C2DE5">
      <w:pPr>
        <w:widowControl/>
        <w:autoSpaceDE w:val="0"/>
        <w:autoSpaceDN w:val="0"/>
        <w:adjustRightInd w:val="0"/>
        <w:rPr>
          <w:rFonts w:cs="Arial"/>
          <w:bCs/>
          <w:lang w:bidi="ar-SA"/>
        </w:rPr>
      </w:pPr>
    </w:p>
    <w:p w:rsidR="002C2DE5" w:rsidRPr="002C2DE5" w:rsidRDefault="002C2DE5" w:rsidP="002C2DE5">
      <w:pPr>
        <w:widowControl/>
        <w:autoSpaceDE w:val="0"/>
        <w:autoSpaceDN w:val="0"/>
        <w:adjustRightInd w:val="0"/>
        <w:rPr>
          <w:rFonts w:cs="Arial"/>
          <w:bCs/>
          <w:lang w:bidi="ar-SA"/>
        </w:rPr>
      </w:pPr>
      <w:r w:rsidRPr="002C2DE5">
        <w:rPr>
          <w:rFonts w:cs="Arial"/>
          <w:bCs/>
          <w:lang w:bidi="ar-SA"/>
        </w:rPr>
        <w:t xml:space="preserve">It is concluded that: (i) results for strain TA102 in the presence of S9 cannot be interpreted because the positive control did not give expected results; </w:t>
      </w:r>
      <w:r w:rsidR="00E45D9F">
        <w:rPr>
          <w:rFonts w:cs="Arial"/>
          <w:bCs/>
          <w:lang w:bidi="ar-SA"/>
        </w:rPr>
        <w:t xml:space="preserve">and </w:t>
      </w:r>
      <w:r w:rsidRPr="002C2DE5">
        <w:rPr>
          <w:rFonts w:cs="Arial"/>
          <w:bCs/>
          <w:lang w:bidi="ar-SA"/>
        </w:rPr>
        <w:t>(ii) tutin did not exhibit mutagenic activity for the remaining strains (±S9) or for strain TA102 (-S9).</w:t>
      </w:r>
    </w:p>
    <w:p w:rsidR="002C2DE5" w:rsidRPr="002C2DE5" w:rsidRDefault="002C2DE5" w:rsidP="002C2DE5">
      <w:pPr>
        <w:widowControl/>
        <w:autoSpaceDE w:val="0"/>
        <w:autoSpaceDN w:val="0"/>
        <w:adjustRightInd w:val="0"/>
        <w:rPr>
          <w:rFonts w:cs="Arial"/>
          <w:bCs/>
          <w:i/>
          <w:iCs/>
          <w:lang w:bidi="ar-SA"/>
        </w:rPr>
      </w:pPr>
    </w:p>
    <w:tbl>
      <w:tblPr>
        <w:tblStyle w:val="TableGrid3"/>
        <w:tblW w:w="0" w:type="auto"/>
        <w:tblLook w:val="04A0" w:firstRow="1" w:lastRow="0" w:firstColumn="1" w:lastColumn="0" w:noHBand="0" w:noVBand="1"/>
      </w:tblPr>
      <w:tblGrid>
        <w:gridCol w:w="9242"/>
      </w:tblGrid>
      <w:tr w:rsidR="002C2DE5" w:rsidRPr="002C2DE5" w:rsidTr="002C2DE5">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C2DE5" w:rsidRPr="002C2DE5" w:rsidRDefault="002C2DE5" w:rsidP="002C2DE5">
            <w:pPr>
              <w:spacing w:before="40" w:after="40"/>
              <w:rPr>
                <w:rFonts w:eastAsia="Times New Roman" w:cs="Arial"/>
                <w:color w:val="000000"/>
                <w:sz w:val="20"/>
                <w:szCs w:val="20"/>
                <w:lang w:bidi="ar-SA"/>
              </w:rPr>
            </w:pPr>
            <w:r w:rsidRPr="002C2DE5">
              <w:rPr>
                <w:rFonts w:cs="Arial"/>
                <w:bCs/>
                <w:sz w:val="20"/>
                <w:szCs w:val="20"/>
                <w:lang w:bidi="ar-SA"/>
              </w:rPr>
              <w:t>Ellett S, Zhu W, Han DY, Karunasinghe N, Munday R, Ferguson LR (2011) Genetic toxicology report. Mouse bone marrow micronucleus tests for tutin, hyenanchin +dihydrohyenanchin and pure hyenanchin.</w:t>
            </w:r>
            <w:r w:rsidRPr="002C2DE5">
              <w:rPr>
                <w:lang w:bidi="ar-SA"/>
              </w:rPr>
              <w:t xml:space="preserve"> </w:t>
            </w:r>
            <w:r w:rsidRPr="002C2DE5">
              <w:rPr>
                <w:rFonts w:cs="Arial"/>
                <w:bCs/>
                <w:sz w:val="20"/>
                <w:szCs w:val="20"/>
                <w:lang w:bidi="ar-SA"/>
              </w:rPr>
              <w:t xml:space="preserve">Unpublished report.  </w:t>
            </w:r>
            <w:r w:rsidRPr="002C2DE5">
              <w:rPr>
                <w:rFonts w:cs="Arial"/>
                <w:b/>
                <w:bCs/>
                <w:sz w:val="20"/>
                <w:szCs w:val="20"/>
                <w:lang w:bidi="ar-SA"/>
              </w:rPr>
              <w:t>Lab</w:t>
            </w:r>
            <w:r w:rsidRPr="002C2DE5">
              <w:rPr>
                <w:rFonts w:cs="Arial"/>
                <w:bCs/>
                <w:sz w:val="20"/>
                <w:szCs w:val="20"/>
                <w:lang w:bidi="ar-SA"/>
              </w:rPr>
              <w:t xml:space="preserve">: Auckland Cancer Society Research Centre, Faculty of Medical and Health Sciences, University of Auckland, New Zealand; and AgResearch Ruakura Research Centre, East Street, Hamilton, New Zealand. </w:t>
            </w:r>
            <w:r w:rsidRPr="002C2DE5">
              <w:rPr>
                <w:rFonts w:cs="Arial"/>
                <w:b/>
                <w:bCs/>
                <w:sz w:val="20"/>
                <w:szCs w:val="20"/>
                <w:lang w:bidi="ar-SA"/>
              </w:rPr>
              <w:t>Date</w:t>
            </w:r>
            <w:r w:rsidRPr="002C2DE5">
              <w:rPr>
                <w:rFonts w:cs="Arial"/>
                <w:bCs/>
                <w:sz w:val="20"/>
                <w:szCs w:val="20"/>
                <w:lang w:bidi="ar-SA"/>
              </w:rPr>
              <w:t xml:space="preserve">: 31 January 2009. </w:t>
            </w:r>
            <w:r w:rsidRPr="002C2DE5">
              <w:rPr>
                <w:rFonts w:cs="Arial"/>
                <w:b/>
                <w:bCs/>
                <w:sz w:val="20"/>
                <w:szCs w:val="20"/>
                <w:lang w:bidi="ar-SA"/>
              </w:rPr>
              <w:t>GLP</w:t>
            </w:r>
            <w:r w:rsidRPr="002C2DE5">
              <w:rPr>
                <w:rFonts w:cs="Arial"/>
                <w:bCs/>
                <w:sz w:val="20"/>
                <w:szCs w:val="20"/>
                <w:lang w:bidi="ar-SA"/>
              </w:rPr>
              <w:t>: No.</w:t>
            </w:r>
          </w:p>
        </w:tc>
      </w:tr>
    </w:tbl>
    <w:p w:rsidR="002C2DE5" w:rsidRPr="002C2DE5" w:rsidRDefault="002C2DE5" w:rsidP="002C2DE5">
      <w:pPr>
        <w:widowControl/>
        <w:autoSpaceDE w:val="0"/>
        <w:autoSpaceDN w:val="0"/>
        <w:adjustRightInd w:val="0"/>
        <w:rPr>
          <w:rFonts w:cs="Arial"/>
          <w:bCs/>
          <w:i/>
          <w:iCs/>
          <w:lang w:bidi="ar-SA"/>
        </w:rPr>
      </w:pPr>
    </w:p>
    <w:p w:rsidR="002C2DE5" w:rsidRDefault="002C2DE5" w:rsidP="002C2DE5">
      <w:pPr>
        <w:widowControl/>
        <w:autoSpaceDE w:val="0"/>
        <w:autoSpaceDN w:val="0"/>
        <w:adjustRightInd w:val="0"/>
        <w:rPr>
          <w:rFonts w:cs="Arial"/>
          <w:bCs/>
          <w:iCs/>
          <w:lang w:bidi="ar-SA"/>
        </w:rPr>
      </w:pPr>
      <w:r w:rsidRPr="002C2DE5">
        <w:rPr>
          <w:rFonts w:cs="Arial"/>
          <w:bCs/>
          <w:iCs/>
          <w:lang w:bidi="ar-SA"/>
        </w:rPr>
        <w:t xml:space="preserve">A </w:t>
      </w:r>
      <w:r w:rsidR="00B327AF">
        <w:rPr>
          <w:rFonts w:cs="Arial"/>
          <w:bCs/>
          <w:iCs/>
          <w:lang w:bidi="ar-SA"/>
        </w:rPr>
        <w:t xml:space="preserve">bone marrow micronucleus test </w:t>
      </w:r>
      <w:r w:rsidRPr="002C2DE5">
        <w:rPr>
          <w:rFonts w:cs="Arial"/>
          <w:bCs/>
          <w:iCs/>
          <w:lang w:bidi="ar-SA"/>
        </w:rPr>
        <w:t xml:space="preserve">in </w:t>
      </w:r>
      <w:r w:rsidR="006D51DE">
        <w:rPr>
          <w:rFonts w:cs="Arial"/>
          <w:bCs/>
          <w:iCs/>
          <w:lang w:bidi="ar-SA"/>
        </w:rPr>
        <w:t xml:space="preserve">Swiss albino </w:t>
      </w:r>
      <w:r w:rsidRPr="002C2DE5">
        <w:rPr>
          <w:rFonts w:cs="Arial"/>
          <w:bCs/>
          <w:iCs/>
          <w:lang w:bidi="ar-SA"/>
        </w:rPr>
        <w:t>mice was negative for tutin, hyenanchin</w:t>
      </w:r>
      <w:r w:rsidR="003E4A10">
        <w:rPr>
          <w:rFonts w:cs="Arial"/>
          <w:bCs/>
          <w:iCs/>
          <w:lang w:bidi="ar-SA"/>
        </w:rPr>
        <w:t xml:space="preserve"> </w:t>
      </w:r>
      <w:r w:rsidRPr="002C2DE5">
        <w:rPr>
          <w:rFonts w:cs="Arial"/>
          <w:bCs/>
          <w:iCs/>
          <w:lang w:bidi="ar-SA"/>
        </w:rPr>
        <w:t xml:space="preserve">and </w:t>
      </w:r>
      <w:r w:rsidR="0070631A">
        <w:rPr>
          <w:rFonts w:cs="Arial"/>
          <w:bCs/>
          <w:iCs/>
          <w:lang w:bidi="ar-SA"/>
        </w:rPr>
        <w:t>a mixture of hyenanchin and dihydrohyenanchin</w:t>
      </w:r>
      <w:r w:rsidR="003E4A10">
        <w:rPr>
          <w:rFonts w:cs="Arial"/>
          <w:bCs/>
          <w:iCs/>
          <w:lang w:bidi="ar-SA"/>
        </w:rPr>
        <w:t xml:space="preserve"> (</w:t>
      </w:r>
      <w:r w:rsidR="003E4A10" w:rsidRPr="00CB2985">
        <w:rPr>
          <w:rFonts w:cs="Arial"/>
          <w:bCs/>
          <w:iCs/>
          <w:lang w:bidi="ar-SA"/>
        </w:rPr>
        <w:t>80:20</w:t>
      </w:r>
      <w:r w:rsidR="006D51DE">
        <w:rPr>
          <w:rFonts w:cs="Arial"/>
          <w:bCs/>
          <w:iCs/>
          <w:lang w:bidi="ar-SA"/>
        </w:rPr>
        <w:t xml:space="preserve"> w/w</w:t>
      </w:r>
      <w:r w:rsidR="003E4A10">
        <w:rPr>
          <w:rFonts w:cs="Arial"/>
          <w:bCs/>
          <w:iCs/>
          <w:lang w:bidi="ar-SA"/>
        </w:rPr>
        <w:t>)</w:t>
      </w:r>
      <w:r w:rsidR="0070631A">
        <w:rPr>
          <w:rFonts w:cs="Arial"/>
          <w:bCs/>
          <w:iCs/>
          <w:lang w:bidi="ar-SA"/>
        </w:rPr>
        <w:t xml:space="preserve">. </w:t>
      </w:r>
      <w:r w:rsidR="00BF19DE">
        <w:rPr>
          <w:rFonts w:cs="Arial"/>
          <w:bCs/>
          <w:iCs/>
          <w:lang w:bidi="ar-SA"/>
        </w:rPr>
        <w:t>It was stated that t</w:t>
      </w:r>
      <w:r w:rsidR="00BF19DE" w:rsidRPr="00BF19DE">
        <w:rPr>
          <w:rFonts w:cs="Arial"/>
          <w:bCs/>
          <w:iCs/>
          <w:lang w:bidi="ar-SA"/>
        </w:rPr>
        <w:t>he OECD Guideline for the Mammalian Bone Marrow Erythrocyte</w:t>
      </w:r>
      <w:r w:rsidR="00BF19DE">
        <w:rPr>
          <w:rFonts w:cs="Arial"/>
          <w:bCs/>
          <w:iCs/>
          <w:lang w:bidi="ar-SA"/>
        </w:rPr>
        <w:t xml:space="preserve"> Micronucleus Test No 474 (OECD </w:t>
      </w:r>
      <w:r w:rsidR="00BF19DE" w:rsidRPr="00BF19DE">
        <w:rPr>
          <w:rFonts w:cs="Arial"/>
          <w:bCs/>
          <w:iCs/>
          <w:lang w:bidi="ar-SA"/>
        </w:rPr>
        <w:t>19</w:t>
      </w:r>
      <w:r w:rsidR="00BF19DE">
        <w:rPr>
          <w:rFonts w:cs="Arial"/>
          <w:bCs/>
          <w:iCs/>
          <w:lang w:bidi="ar-SA"/>
        </w:rPr>
        <w:t>97b) was the methodology used</w:t>
      </w:r>
      <w:r w:rsidR="00BF19DE" w:rsidRPr="00BF19DE">
        <w:rPr>
          <w:rFonts w:cs="Arial"/>
          <w:bCs/>
          <w:iCs/>
          <w:lang w:bidi="ar-SA"/>
        </w:rPr>
        <w:t xml:space="preserve"> in this experiment</w:t>
      </w:r>
      <w:r w:rsidR="00BF19DE">
        <w:rPr>
          <w:rFonts w:cs="Arial"/>
          <w:bCs/>
          <w:iCs/>
          <w:lang w:bidi="ar-SA"/>
        </w:rPr>
        <w:t xml:space="preserve">. </w:t>
      </w:r>
      <w:r w:rsidR="0070631A">
        <w:rPr>
          <w:rFonts w:cs="Arial"/>
          <w:bCs/>
          <w:iCs/>
          <w:lang w:bidi="ar-SA"/>
        </w:rPr>
        <w:t>However, th</w:t>
      </w:r>
      <w:r w:rsidRPr="002C2DE5">
        <w:rPr>
          <w:rFonts w:cs="Arial"/>
          <w:bCs/>
          <w:iCs/>
          <w:lang w:bidi="ar-SA"/>
        </w:rPr>
        <w:t xml:space="preserve">e dose level tested for hyenanchin and hyenanchin:dihydrohyenanchin (15 mg/kg bw twice daily) was </w:t>
      </w:r>
      <w:r w:rsidR="00BF19DE">
        <w:rPr>
          <w:rFonts w:cs="Arial"/>
          <w:bCs/>
          <w:iCs/>
          <w:lang w:bidi="ar-SA"/>
        </w:rPr>
        <w:t xml:space="preserve">much </w:t>
      </w:r>
      <w:r w:rsidRPr="002C2DE5">
        <w:rPr>
          <w:rFonts w:cs="Arial"/>
          <w:bCs/>
          <w:iCs/>
          <w:lang w:bidi="ar-SA"/>
        </w:rPr>
        <w:t xml:space="preserve">lower than the </w:t>
      </w:r>
      <w:r w:rsidR="005D0613">
        <w:rPr>
          <w:rFonts w:cs="Arial"/>
          <w:bCs/>
          <w:iCs/>
          <w:lang w:bidi="ar-SA"/>
        </w:rPr>
        <w:t>acute LOAEL of 640</w:t>
      </w:r>
      <w:r w:rsidRPr="002C2DE5">
        <w:rPr>
          <w:rFonts w:cs="Arial"/>
          <w:bCs/>
          <w:iCs/>
          <w:lang w:bidi="ar-SA"/>
        </w:rPr>
        <w:t xml:space="preserve"> mg/kg bw (Munday 2011</w:t>
      </w:r>
      <w:r w:rsidR="00506F24">
        <w:rPr>
          <w:rFonts w:cs="Arial"/>
          <w:bCs/>
          <w:iCs/>
          <w:lang w:bidi="ar-SA"/>
        </w:rPr>
        <w:t>; see Section 2.2.10</w:t>
      </w:r>
      <w:r w:rsidRPr="002C2DE5">
        <w:rPr>
          <w:rFonts w:cs="Arial"/>
          <w:bCs/>
          <w:iCs/>
          <w:lang w:bidi="ar-SA"/>
        </w:rPr>
        <w:t xml:space="preserve">). In order to maximise the probability of </w:t>
      </w:r>
      <w:r w:rsidR="00B327AF">
        <w:rPr>
          <w:rFonts w:cs="Arial"/>
          <w:bCs/>
          <w:iCs/>
          <w:lang w:bidi="ar-SA"/>
        </w:rPr>
        <w:t>inducing micronuclei formation</w:t>
      </w:r>
      <w:r w:rsidRPr="002C2DE5">
        <w:rPr>
          <w:rFonts w:cs="Arial"/>
          <w:bCs/>
          <w:iCs/>
          <w:lang w:bidi="ar-SA"/>
        </w:rPr>
        <w:t xml:space="preserve">, Guideline 474 recommends </w:t>
      </w:r>
      <w:r w:rsidR="00FD57B9">
        <w:rPr>
          <w:rFonts w:cs="Arial"/>
          <w:bCs/>
          <w:iCs/>
          <w:lang w:bidi="ar-SA"/>
        </w:rPr>
        <w:t xml:space="preserve">doses </w:t>
      </w:r>
      <w:r w:rsidR="000D354B">
        <w:rPr>
          <w:rFonts w:cs="Arial"/>
          <w:bCs/>
          <w:iCs/>
          <w:lang w:bidi="ar-SA"/>
        </w:rPr>
        <w:t xml:space="preserve">that are sufficiently </w:t>
      </w:r>
      <w:r w:rsidR="00FD57B9">
        <w:rPr>
          <w:rFonts w:cs="Arial"/>
          <w:bCs/>
          <w:iCs/>
          <w:lang w:bidi="ar-SA"/>
        </w:rPr>
        <w:t xml:space="preserve">high to result in </w:t>
      </w:r>
      <w:r w:rsidR="000D354B">
        <w:rPr>
          <w:rFonts w:cs="Arial"/>
          <w:bCs/>
          <w:iCs/>
          <w:lang w:bidi="ar-SA"/>
        </w:rPr>
        <w:t xml:space="preserve">evidence of </w:t>
      </w:r>
      <w:r w:rsidR="00FD57B9">
        <w:rPr>
          <w:rFonts w:cs="Arial"/>
          <w:bCs/>
          <w:iCs/>
          <w:lang w:bidi="ar-SA"/>
        </w:rPr>
        <w:t>toxicity</w:t>
      </w:r>
      <w:r w:rsidRPr="002C2DE5">
        <w:rPr>
          <w:rFonts w:cs="Arial"/>
          <w:bCs/>
          <w:iCs/>
          <w:lang w:bidi="ar-SA"/>
        </w:rPr>
        <w:t>.</w:t>
      </w:r>
    </w:p>
    <w:p w:rsidR="002C2DE5" w:rsidRPr="002C2DE5" w:rsidRDefault="00307A70" w:rsidP="00BC4D1D">
      <w:pPr>
        <w:pStyle w:val="Heading3"/>
      </w:pPr>
      <w:bookmarkStart w:id="32" w:name="_Toc401143924"/>
      <w:r>
        <w:t>2.2.8</w:t>
      </w:r>
      <w:r>
        <w:tab/>
        <w:t>Reproductive and developmental t</w:t>
      </w:r>
      <w:r w:rsidR="009A42EA">
        <w:t>oxi</w:t>
      </w:r>
      <w:r>
        <w:t>city s</w:t>
      </w:r>
      <w:r w:rsidR="002C2DE5" w:rsidRPr="002C2DE5">
        <w:t>tudies</w:t>
      </w:r>
      <w:bookmarkEnd w:id="32"/>
    </w:p>
    <w:p w:rsidR="002C2DE5" w:rsidRPr="002C2DE5" w:rsidRDefault="002C2DE5" w:rsidP="002C2DE5">
      <w:pPr>
        <w:widowControl/>
        <w:autoSpaceDE w:val="0"/>
        <w:autoSpaceDN w:val="0"/>
        <w:adjustRightInd w:val="0"/>
        <w:rPr>
          <w:rFonts w:cs="Arial"/>
          <w:iCs/>
          <w:lang w:bidi="ar-SA"/>
        </w:rPr>
      </w:pPr>
      <w:r w:rsidRPr="002C2DE5">
        <w:rPr>
          <w:rFonts w:cs="Arial"/>
          <w:iCs/>
          <w:lang w:bidi="ar-SA"/>
        </w:rPr>
        <w:t>No data are available.</w:t>
      </w:r>
    </w:p>
    <w:p w:rsidR="00A128B3" w:rsidRDefault="003A5531" w:rsidP="00BC4D1D">
      <w:pPr>
        <w:pStyle w:val="Heading3"/>
      </w:pPr>
      <w:bookmarkStart w:id="33" w:name="_Toc401143925"/>
      <w:r>
        <w:t>2.2.9</w:t>
      </w:r>
      <w:r>
        <w:tab/>
        <w:t xml:space="preserve">Human </w:t>
      </w:r>
      <w:r w:rsidR="00307A70">
        <w:t>d</w:t>
      </w:r>
      <w:r w:rsidR="00515549">
        <w:t>ata</w:t>
      </w:r>
      <w:bookmarkEnd w:id="33"/>
    </w:p>
    <w:p w:rsidR="00515549" w:rsidRPr="00515549" w:rsidRDefault="00515549" w:rsidP="00BD21BD">
      <w:pPr>
        <w:pStyle w:val="Heading4"/>
      </w:pPr>
      <w:r w:rsidRPr="00515549">
        <w:t>Isolated tutin</w:t>
      </w:r>
    </w:p>
    <w:p w:rsidR="00680F3A" w:rsidRDefault="00515549" w:rsidP="00515549">
      <w:pPr>
        <w:rPr>
          <w:lang w:bidi="ar-SA"/>
        </w:rPr>
      </w:pPr>
      <w:r w:rsidRPr="00515549">
        <w:rPr>
          <w:lang w:bidi="ar-SA"/>
        </w:rPr>
        <w:t>McNaughton and Goodwin (2008) reviewed several reports on the human toxicity of tutin isolated from the tutu plant. One early paper stated that</w:t>
      </w:r>
      <w:r w:rsidRPr="00C46C9B">
        <w:rPr>
          <w:i/>
          <w:lang w:bidi="ar-SA"/>
        </w:rPr>
        <w:t xml:space="preserve"> ‘a small [oral] dose, estimated to be about 0.01 grain [~0.65 mg], caused sickness and incapacity for work extending over 24 hr in a full-grown man’</w:t>
      </w:r>
      <w:r w:rsidRPr="00515549">
        <w:rPr>
          <w:lang w:bidi="ar-SA"/>
        </w:rPr>
        <w:t xml:space="preserve"> (Easterfield 1900). </w:t>
      </w:r>
      <w:r w:rsidR="00680F3A">
        <w:rPr>
          <w:lang w:bidi="ar-SA"/>
        </w:rPr>
        <w:br w:type="page"/>
      </w:r>
    </w:p>
    <w:p w:rsidR="00515549" w:rsidRDefault="0051623C" w:rsidP="00515549">
      <w:pPr>
        <w:rPr>
          <w:bCs/>
          <w:lang w:bidi="ar-SA"/>
        </w:rPr>
      </w:pPr>
      <w:r>
        <w:rPr>
          <w:lang w:bidi="ar-SA"/>
        </w:rPr>
        <w:lastRenderedPageBreak/>
        <w:t xml:space="preserve">In a subsequent </w:t>
      </w:r>
      <w:r w:rsidR="001B009A">
        <w:rPr>
          <w:lang w:bidi="ar-SA"/>
        </w:rPr>
        <w:t>paper</w:t>
      </w:r>
      <w:r>
        <w:rPr>
          <w:lang w:bidi="ar-SA"/>
        </w:rPr>
        <w:t>, s</w:t>
      </w:r>
      <w:r w:rsidR="00B13D64">
        <w:rPr>
          <w:lang w:bidi="ar-SA"/>
        </w:rPr>
        <w:t>elf-administered oral dose</w:t>
      </w:r>
      <w:r>
        <w:rPr>
          <w:lang w:bidi="ar-SA"/>
        </w:rPr>
        <w:t>s</w:t>
      </w:r>
      <w:r w:rsidR="00515549" w:rsidRPr="00515549">
        <w:rPr>
          <w:lang w:bidi="ar-SA"/>
        </w:rPr>
        <w:t xml:space="preserve"> of </w:t>
      </w:r>
      <w:r w:rsidR="00B13D64">
        <w:rPr>
          <w:lang w:bidi="ar-SA"/>
        </w:rPr>
        <w:t xml:space="preserve">1 </w:t>
      </w:r>
      <w:r>
        <w:rPr>
          <w:lang w:bidi="ar-SA"/>
        </w:rPr>
        <w:t>or 2 mg were</w:t>
      </w:r>
      <w:r w:rsidR="00B13D64">
        <w:rPr>
          <w:lang w:bidi="ar-SA"/>
        </w:rPr>
        <w:t xml:space="preserve"> reported to have no adverse effects,</w:t>
      </w:r>
      <w:r w:rsidR="009E1D39">
        <w:rPr>
          <w:lang w:bidi="ar-SA"/>
        </w:rPr>
        <w:t xml:space="preserve"> however a 2 mg dose followed several</w:t>
      </w:r>
      <w:r w:rsidR="00B13D64">
        <w:rPr>
          <w:lang w:bidi="ar-SA"/>
        </w:rPr>
        <w:t xml:space="preserve"> h</w:t>
      </w:r>
      <w:r w:rsidR="009E1D39">
        <w:rPr>
          <w:lang w:bidi="ar-SA"/>
        </w:rPr>
        <w:t>ours later by an additional</w:t>
      </w:r>
      <w:r w:rsidR="00B13D64">
        <w:rPr>
          <w:lang w:bidi="ar-SA"/>
        </w:rPr>
        <w:t xml:space="preserve"> 1</w:t>
      </w:r>
      <w:r w:rsidR="009E1D39">
        <w:rPr>
          <w:lang w:bidi="ar-SA"/>
        </w:rPr>
        <w:t> </w:t>
      </w:r>
      <w:r w:rsidR="00B13D64">
        <w:rPr>
          <w:lang w:bidi="ar-SA"/>
        </w:rPr>
        <w:t xml:space="preserve">mg </w:t>
      </w:r>
      <w:r w:rsidR="00515549" w:rsidRPr="00515549">
        <w:rPr>
          <w:lang w:bidi="ar-SA"/>
        </w:rPr>
        <w:t>result</w:t>
      </w:r>
      <w:r w:rsidR="00B13D64">
        <w:rPr>
          <w:lang w:bidi="ar-SA"/>
        </w:rPr>
        <w:t>ed</w:t>
      </w:r>
      <w:r w:rsidR="00515549" w:rsidRPr="00515549">
        <w:rPr>
          <w:lang w:bidi="ar-SA"/>
        </w:rPr>
        <w:t xml:space="preserve"> in </w:t>
      </w:r>
      <w:r w:rsidR="000704E9">
        <w:rPr>
          <w:lang w:bidi="ar-SA"/>
        </w:rPr>
        <w:t xml:space="preserve">increased blood pressure, </w:t>
      </w:r>
      <w:r w:rsidR="0030665A">
        <w:rPr>
          <w:lang w:bidi="ar-SA"/>
        </w:rPr>
        <w:t xml:space="preserve">loss of appetite, </w:t>
      </w:r>
      <w:r w:rsidR="000704E9">
        <w:rPr>
          <w:lang w:bidi="ar-SA"/>
        </w:rPr>
        <w:t xml:space="preserve">“knee jerks”, and </w:t>
      </w:r>
      <w:r w:rsidR="00515549" w:rsidRPr="00515549">
        <w:rPr>
          <w:bCs/>
          <w:lang w:bidi="ar-SA"/>
        </w:rPr>
        <w:t>decreased mental acuity</w:t>
      </w:r>
      <w:r w:rsidR="0024467D">
        <w:rPr>
          <w:bCs/>
          <w:lang w:bidi="ar-SA"/>
        </w:rPr>
        <w:t>.</w:t>
      </w:r>
      <w:r w:rsidR="00515549" w:rsidRPr="00515549">
        <w:rPr>
          <w:bCs/>
          <w:lang w:bidi="ar-SA"/>
        </w:rPr>
        <w:t xml:space="preserve"> </w:t>
      </w:r>
      <w:r w:rsidR="001B009A">
        <w:rPr>
          <w:bCs/>
          <w:lang w:bidi="ar-SA"/>
        </w:rPr>
        <w:t xml:space="preserve">A single oral dose of 3 mg resulted in elevated BP, nausea, loss of appetite, and impaired coordination </w:t>
      </w:r>
      <w:r w:rsidR="00515549" w:rsidRPr="00515549">
        <w:rPr>
          <w:bCs/>
          <w:lang w:bidi="ar-SA"/>
        </w:rPr>
        <w:t>(Corban 1929a).</w:t>
      </w:r>
      <w:r w:rsidR="00C817C7">
        <w:rPr>
          <w:bCs/>
          <w:lang w:bidi="ar-SA"/>
        </w:rPr>
        <w:t xml:space="preserve"> </w:t>
      </w:r>
      <w:r w:rsidR="00C817C7">
        <w:rPr>
          <w:lang w:bidi="ar-SA"/>
        </w:rPr>
        <w:t>S</w:t>
      </w:r>
      <w:r w:rsidR="00515549" w:rsidRPr="00515549">
        <w:rPr>
          <w:lang w:bidi="ar-SA"/>
        </w:rPr>
        <w:t>ubcutaneous injections of 1-2 mg tutin were reported to have no effects apart from</w:t>
      </w:r>
      <w:r w:rsidR="00515549" w:rsidRPr="00515549">
        <w:rPr>
          <w:bCs/>
          <w:iCs/>
          <w:lang w:bidi="ar-SA"/>
        </w:rPr>
        <w:t xml:space="preserve"> one case in which </w:t>
      </w:r>
      <w:r w:rsidR="00515549" w:rsidRPr="00515549">
        <w:rPr>
          <w:bCs/>
          <w:lang w:bidi="ar-SA"/>
        </w:rPr>
        <w:t xml:space="preserve">tremors in the knees and slight twitching of the fingers were observed </w:t>
      </w:r>
      <w:r w:rsidR="00851789">
        <w:rPr>
          <w:bCs/>
          <w:iCs/>
          <w:lang w:bidi="ar-SA"/>
        </w:rPr>
        <w:t>(</w:t>
      </w:r>
      <w:r w:rsidR="00515549" w:rsidRPr="00515549">
        <w:rPr>
          <w:bCs/>
          <w:iCs/>
          <w:lang w:bidi="ar-SA"/>
        </w:rPr>
        <w:t>Corban 1929b)</w:t>
      </w:r>
      <w:r w:rsidR="00515549" w:rsidRPr="00515549">
        <w:rPr>
          <w:lang w:bidi="ar-SA"/>
        </w:rPr>
        <w:t>.</w:t>
      </w:r>
      <w:r w:rsidR="00515549" w:rsidRPr="00515549">
        <w:rPr>
          <w:bCs/>
          <w:lang w:bidi="ar-SA"/>
        </w:rPr>
        <w:t xml:space="preserve"> Muscular twitching was observed after five subcutaneous doses of 0.5 mg/kg, given at hourly intervals, and </w:t>
      </w:r>
      <w:r w:rsidR="009C4596">
        <w:rPr>
          <w:bCs/>
          <w:lang w:bidi="ar-SA"/>
        </w:rPr>
        <w:t xml:space="preserve">convulsions </w:t>
      </w:r>
      <w:r w:rsidR="00515549" w:rsidRPr="00515549">
        <w:rPr>
          <w:bCs/>
          <w:lang w:bidi="ar-SA"/>
        </w:rPr>
        <w:t>occurred in an individual after the third of three doses of 1</w:t>
      </w:r>
      <w:r w:rsidR="00F339FE">
        <w:rPr>
          <w:bCs/>
          <w:lang w:bidi="ar-SA"/>
        </w:rPr>
        <w:t> </w:t>
      </w:r>
      <w:r w:rsidR="00515549" w:rsidRPr="00515549">
        <w:rPr>
          <w:bCs/>
          <w:lang w:bidi="ar-SA"/>
        </w:rPr>
        <w:t>mg tutin, given over a 36-hour period (Corban 1929b).</w:t>
      </w:r>
      <w:r w:rsidR="00584BF9">
        <w:rPr>
          <w:bCs/>
          <w:lang w:bidi="ar-SA"/>
        </w:rPr>
        <w:t xml:space="preserve"> A limitation of these reports is the unknown purity</w:t>
      </w:r>
      <w:r w:rsidR="00F564A4">
        <w:rPr>
          <w:bCs/>
          <w:lang w:bidi="ar-SA"/>
        </w:rPr>
        <w:t>/composition</w:t>
      </w:r>
      <w:r w:rsidR="00584BF9">
        <w:rPr>
          <w:bCs/>
          <w:lang w:bidi="ar-SA"/>
        </w:rPr>
        <w:t xml:space="preserve"> of the administered tutin preparations.</w:t>
      </w:r>
    </w:p>
    <w:p w:rsidR="0083334F" w:rsidRPr="00C46C9B" w:rsidRDefault="00DE7CD6" w:rsidP="00BD21BD">
      <w:pPr>
        <w:pStyle w:val="Heading4"/>
      </w:pPr>
      <w:r>
        <w:t>P</w:t>
      </w:r>
      <w:r w:rsidR="0083334F" w:rsidRPr="00C46C9B">
        <w:t>oisoning</w:t>
      </w:r>
      <w:r>
        <w:t xml:space="preserve"> from plants containing tutin</w:t>
      </w:r>
    </w:p>
    <w:p w:rsidR="004F4CCF" w:rsidRDefault="000E52B0" w:rsidP="004F4CCF">
      <w:pPr>
        <w:rPr>
          <w:bCs/>
          <w:lang w:bidi="ar-SA"/>
        </w:rPr>
      </w:pPr>
      <w:r>
        <w:rPr>
          <w:bCs/>
          <w:lang w:bidi="ar-SA"/>
        </w:rPr>
        <w:t xml:space="preserve">Human poisoning from the ingestion of tutu </w:t>
      </w:r>
      <w:r w:rsidR="00CE6E27">
        <w:rPr>
          <w:bCs/>
          <w:lang w:bidi="ar-SA"/>
        </w:rPr>
        <w:t>(</w:t>
      </w:r>
      <w:r w:rsidR="00CE6E27" w:rsidRPr="00C46C9B">
        <w:rPr>
          <w:bCs/>
          <w:i/>
          <w:lang w:bidi="ar-SA"/>
        </w:rPr>
        <w:t>Coriaria arborea</w:t>
      </w:r>
      <w:r w:rsidR="00CE6E27">
        <w:rPr>
          <w:bCs/>
          <w:lang w:bidi="ar-SA"/>
        </w:rPr>
        <w:t xml:space="preserve">) </w:t>
      </w:r>
      <w:r>
        <w:rPr>
          <w:bCs/>
          <w:lang w:bidi="ar-SA"/>
        </w:rPr>
        <w:t xml:space="preserve">berries appears to be rare. Three cases </w:t>
      </w:r>
      <w:r w:rsidR="000A6292">
        <w:rPr>
          <w:bCs/>
          <w:lang w:bidi="ar-SA"/>
        </w:rPr>
        <w:t xml:space="preserve">in New Zealand </w:t>
      </w:r>
      <w:r>
        <w:rPr>
          <w:bCs/>
          <w:lang w:bidi="ar-SA"/>
        </w:rPr>
        <w:t>were documented in 2012, however the previous</w:t>
      </w:r>
      <w:r w:rsidR="000A6292">
        <w:rPr>
          <w:bCs/>
          <w:lang w:bidi="ar-SA"/>
        </w:rPr>
        <w:t xml:space="preserve"> case </w:t>
      </w:r>
      <w:r>
        <w:rPr>
          <w:bCs/>
          <w:lang w:bidi="ar-SA"/>
        </w:rPr>
        <w:t xml:space="preserve">in the medical literature was over 40 years </w:t>
      </w:r>
      <w:r w:rsidR="005F54D3">
        <w:rPr>
          <w:bCs/>
          <w:lang w:bidi="ar-SA"/>
        </w:rPr>
        <w:t>earlier</w:t>
      </w:r>
      <w:r w:rsidR="00475EEE">
        <w:rPr>
          <w:bCs/>
          <w:lang w:bidi="ar-SA"/>
        </w:rPr>
        <w:t xml:space="preserve"> (Belcher &amp; Morton 2013).</w:t>
      </w:r>
      <w:r w:rsidR="005F54D3">
        <w:rPr>
          <w:bCs/>
          <w:lang w:bidi="ar-SA"/>
        </w:rPr>
        <w:t xml:space="preserve"> Each of the three cases from 2012 reported eating “hundreds” of berries. At around </w:t>
      </w:r>
      <w:r w:rsidR="005F54D3" w:rsidRPr="005F54D3">
        <w:rPr>
          <w:bCs/>
          <w:lang w:bidi="ar-SA"/>
        </w:rPr>
        <w:t>two hours post ingestion (2-HPI) the trio developed nausea</w:t>
      </w:r>
      <w:r w:rsidR="005F54D3">
        <w:rPr>
          <w:bCs/>
          <w:lang w:bidi="ar-SA"/>
        </w:rPr>
        <w:t xml:space="preserve">. At 5:30-HPI, </w:t>
      </w:r>
      <w:r w:rsidR="005F54D3" w:rsidRPr="005F54D3">
        <w:rPr>
          <w:bCs/>
          <w:lang w:bidi="ar-SA"/>
        </w:rPr>
        <w:t xml:space="preserve">patient A </w:t>
      </w:r>
      <w:r w:rsidR="00955838">
        <w:rPr>
          <w:bCs/>
          <w:lang w:bidi="ar-SA"/>
        </w:rPr>
        <w:t xml:space="preserve">(26 yo male) </w:t>
      </w:r>
      <w:r w:rsidR="005F54D3" w:rsidRPr="005F54D3">
        <w:rPr>
          <w:bCs/>
          <w:lang w:bidi="ar-SA"/>
        </w:rPr>
        <w:t>had a tonic-</w:t>
      </w:r>
      <w:r w:rsidR="005F54D3">
        <w:rPr>
          <w:bCs/>
          <w:lang w:bidi="ar-SA"/>
        </w:rPr>
        <w:t xml:space="preserve">clonic </w:t>
      </w:r>
      <w:r w:rsidR="009C4596">
        <w:rPr>
          <w:bCs/>
          <w:lang w:bidi="ar-SA"/>
        </w:rPr>
        <w:t xml:space="preserve">convulsion </w:t>
      </w:r>
      <w:r w:rsidR="005F54D3">
        <w:rPr>
          <w:bCs/>
          <w:lang w:bidi="ar-SA"/>
        </w:rPr>
        <w:t xml:space="preserve">which lasted two </w:t>
      </w:r>
      <w:r w:rsidR="005F54D3" w:rsidRPr="005F54D3">
        <w:rPr>
          <w:bCs/>
          <w:lang w:bidi="ar-SA"/>
        </w:rPr>
        <w:t>minutes</w:t>
      </w:r>
      <w:r w:rsidR="00955838">
        <w:rPr>
          <w:bCs/>
          <w:lang w:bidi="ar-SA"/>
        </w:rPr>
        <w:t xml:space="preserve"> and then spontaneously resolved. He was tachycardic (110 bpm), however </w:t>
      </w:r>
      <w:r w:rsidR="00955838" w:rsidRPr="00955838">
        <w:rPr>
          <w:bCs/>
          <w:lang w:bidi="ar-SA"/>
        </w:rPr>
        <w:t xml:space="preserve">neurological exam was unremarkable with </w:t>
      </w:r>
      <w:r w:rsidR="007B605C" w:rsidRPr="00955838">
        <w:rPr>
          <w:bCs/>
          <w:lang w:bidi="ar-SA"/>
        </w:rPr>
        <w:t xml:space="preserve">normal reflexes </w:t>
      </w:r>
      <w:r w:rsidR="007B605C">
        <w:rPr>
          <w:bCs/>
          <w:lang w:bidi="ar-SA"/>
        </w:rPr>
        <w:t xml:space="preserve">and </w:t>
      </w:r>
      <w:r w:rsidR="00955838" w:rsidRPr="00955838">
        <w:rPr>
          <w:bCs/>
          <w:lang w:bidi="ar-SA"/>
        </w:rPr>
        <w:t>no</w:t>
      </w:r>
      <w:r w:rsidR="00955838">
        <w:rPr>
          <w:bCs/>
          <w:lang w:bidi="ar-SA"/>
        </w:rPr>
        <w:t xml:space="preserve"> </w:t>
      </w:r>
      <w:r w:rsidR="007B605C">
        <w:rPr>
          <w:bCs/>
          <w:lang w:bidi="ar-SA"/>
        </w:rPr>
        <w:t>tremor</w:t>
      </w:r>
      <w:r w:rsidR="00955838" w:rsidRPr="00955838">
        <w:rPr>
          <w:bCs/>
          <w:lang w:bidi="ar-SA"/>
        </w:rPr>
        <w:t xml:space="preserve">. He was given diazepam </w:t>
      </w:r>
      <w:r w:rsidR="00955838">
        <w:rPr>
          <w:bCs/>
          <w:lang w:bidi="ar-SA"/>
        </w:rPr>
        <w:t>(</w:t>
      </w:r>
      <w:r w:rsidR="00955838" w:rsidRPr="00955838">
        <w:rPr>
          <w:bCs/>
          <w:lang w:bidi="ar-SA"/>
        </w:rPr>
        <w:t xml:space="preserve">10 mg </w:t>
      </w:r>
      <w:r w:rsidR="00955838">
        <w:rPr>
          <w:bCs/>
          <w:lang w:bidi="ar-SA"/>
        </w:rPr>
        <w:t xml:space="preserve">oral). At 9-HPI, he had a second 2-min </w:t>
      </w:r>
      <w:r w:rsidR="00955838" w:rsidRPr="00955838">
        <w:rPr>
          <w:bCs/>
          <w:lang w:bidi="ar-SA"/>
        </w:rPr>
        <w:t>toni</w:t>
      </w:r>
      <w:r w:rsidR="00955838">
        <w:rPr>
          <w:bCs/>
          <w:lang w:bidi="ar-SA"/>
        </w:rPr>
        <w:t xml:space="preserve">c-clonic </w:t>
      </w:r>
      <w:r w:rsidR="009C4596">
        <w:rPr>
          <w:bCs/>
          <w:lang w:bidi="ar-SA"/>
        </w:rPr>
        <w:t xml:space="preserve">convulsion </w:t>
      </w:r>
      <w:r w:rsidR="00955838">
        <w:rPr>
          <w:bCs/>
          <w:lang w:bidi="ar-SA"/>
        </w:rPr>
        <w:t xml:space="preserve">and received a </w:t>
      </w:r>
      <w:r w:rsidR="00955838" w:rsidRPr="00955838">
        <w:rPr>
          <w:bCs/>
          <w:lang w:bidi="ar-SA"/>
        </w:rPr>
        <w:t>second dose of diazepam.</w:t>
      </w:r>
      <w:r w:rsidR="00955838">
        <w:rPr>
          <w:bCs/>
          <w:lang w:bidi="ar-SA"/>
        </w:rPr>
        <w:t xml:space="preserve"> </w:t>
      </w:r>
      <w:r w:rsidR="00CF1C26">
        <w:rPr>
          <w:bCs/>
          <w:lang w:bidi="ar-SA"/>
        </w:rPr>
        <w:t>P</w:t>
      </w:r>
      <w:r w:rsidR="00CF1C26" w:rsidRPr="00CF1C26">
        <w:rPr>
          <w:bCs/>
          <w:lang w:bidi="ar-SA"/>
        </w:rPr>
        <w:t xml:space="preserve">atient B </w:t>
      </w:r>
      <w:r w:rsidR="00CF1C26">
        <w:rPr>
          <w:bCs/>
          <w:lang w:bidi="ar-SA"/>
        </w:rPr>
        <w:t xml:space="preserve">(21 yo female) </w:t>
      </w:r>
      <w:r w:rsidR="00CF1C26" w:rsidRPr="00CF1C26">
        <w:rPr>
          <w:bCs/>
          <w:lang w:bidi="ar-SA"/>
        </w:rPr>
        <w:t>developed an elevated heart rat</w:t>
      </w:r>
      <w:r w:rsidR="00CF1C26">
        <w:rPr>
          <w:bCs/>
          <w:lang w:bidi="ar-SA"/>
        </w:rPr>
        <w:t>e (100 </w:t>
      </w:r>
      <w:r w:rsidR="00F7537B">
        <w:rPr>
          <w:bCs/>
          <w:lang w:bidi="ar-SA"/>
        </w:rPr>
        <w:t xml:space="preserve">bpm), </w:t>
      </w:r>
      <w:r w:rsidR="00CF1C26" w:rsidRPr="00CF1C26">
        <w:rPr>
          <w:bCs/>
          <w:lang w:bidi="ar-SA"/>
        </w:rPr>
        <w:t>became</w:t>
      </w:r>
      <w:r w:rsidR="00CF1C26">
        <w:rPr>
          <w:bCs/>
          <w:lang w:bidi="ar-SA"/>
        </w:rPr>
        <w:t xml:space="preserve"> </w:t>
      </w:r>
      <w:r w:rsidR="00CF1C26" w:rsidRPr="00CF1C26">
        <w:rPr>
          <w:bCs/>
          <w:lang w:bidi="ar-SA"/>
        </w:rPr>
        <w:t xml:space="preserve">highly anxious, then at 6:30-HPI had a 2-minute, self-resolving tonic-clonic </w:t>
      </w:r>
      <w:r w:rsidR="009C4596">
        <w:rPr>
          <w:bCs/>
          <w:lang w:bidi="ar-SA"/>
        </w:rPr>
        <w:t>convulsion</w:t>
      </w:r>
      <w:r w:rsidR="00CF1C26" w:rsidRPr="00CF1C26">
        <w:rPr>
          <w:bCs/>
          <w:lang w:bidi="ar-SA"/>
        </w:rPr>
        <w:t>.</w:t>
      </w:r>
      <w:r w:rsidR="00CF1C26">
        <w:rPr>
          <w:bCs/>
          <w:lang w:bidi="ar-SA"/>
        </w:rPr>
        <w:t xml:space="preserve"> S</w:t>
      </w:r>
      <w:r w:rsidR="00CF1C26" w:rsidRPr="00CF1C26">
        <w:rPr>
          <w:bCs/>
          <w:lang w:bidi="ar-SA"/>
        </w:rPr>
        <w:t xml:space="preserve">he too was given diazepam </w:t>
      </w:r>
      <w:r w:rsidR="00F7537B">
        <w:rPr>
          <w:bCs/>
          <w:lang w:bidi="ar-SA"/>
        </w:rPr>
        <w:t>(10 mg oral)</w:t>
      </w:r>
      <w:r w:rsidR="00CF1C26" w:rsidRPr="00CF1C26">
        <w:rPr>
          <w:bCs/>
          <w:lang w:bidi="ar-SA"/>
        </w:rPr>
        <w:t>.</w:t>
      </w:r>
      <w:r w:rsidR="00E07920">
        <w:rPr>
          <w:bCs/>
          <w:lang w:bidi="ar-SA"/>
        </w:rPr>
        <w:t xml:space="preserve"> Patient C (20 </w:t>
      </w:r>
      <w:r w:rsidR="00CF1C26">
        <w:rPr>
          <w:bCs/>
          <w:lang w:bidi="ar-SA"/>
        </w:rPr>
        <w:t xml:space="preserve">yo female) experienced mild nausea and no other adverse effects. </w:t>
      </w:r>
      <w:r w:rsidR="00152510">
        <w:rPr>
          <w:bCs/>
          <w:lang w:bidi="ar-SA"/>
        </w:rPr>
        <w:t xml:space="preserve">An early report indicated that the tutin content of seeds from tutu berries ranged from 0.1 to 0.6% w/w and that </w:t>
      </w:r>
      <w:r w:rsidR="00307758">
        <w:rPr>
          <w:bCs/>
          <w:lang w:bidi="ar-SA"/>
        </w:rPr>
        <w:t xml:space="preserve">there was </w:t>
      </w:r>
      <w:r w:rsidR="00152510">
        <w:rPr>
          <w:bCs/>
          <w:lang w:bidi="ar-SA"/>
        </w:rPr>
        <w:t>no evidence of tutin in berries from which seeds were removed (Malcolm 1919). This is consistent with</w:t>
      </w:r>
      <w:r w:rsidR="00C63C43">
        <w:rPr>
          <w:bCs/>
          <w:lang w:bidi="ar-SA"/>
        </w:rPr>
        <w:t xml:space="preserve"> reports that t</w:t>
      </w:r>
      <w:r w:rsidR="00C271B4">
        <w:rPr>
          <w:bCs/>
          <w:lang w:bidi="ar-SA"/>
        </w:rPr>
        <w:t>utu</w:t>
      </w:r>
      <w:r w:rsidR="00CC043A">
        <w:rPr>
          <w:bCs/>
          <w:lang w:bidi="ar-SA"/>
        </w:rPr>
        <w:t xml:space="preserve"> berries </w:t>
      </w:r>
      <w:r w:rsidR="00C63C43">
        <w:rPr>
          <w:bCs/>
          <w:lang w:bidi="ar-SA"/>
        </w:rPr>
        <w:t xml:space="preserve">are safe to consume </w:t>
      </w:r>
      <w:r w:rsidR="00CC043A" w:rsidRPr="00CC043A">
        <w:rPr>
          <w:bCs/>
          <w:lang w:bidi="ar-SA"/>
        </w:rPr>
        <w:t>if the see</w:t>
      </w:r>
      <w:r w:rsidR="00CC043A">
        <w:rPr>
          <w:bCs/>
          <w:lang w:bidi="ar-SA"/>
        </w:rPr>
        <w:t>ds are removed</w:t>
      </w:r>
      <w:r w:rsidR="00C271B4">
        <w:rPr>
          <w:bCs/>
          <w:lang w:bidi="ar-SA"/>
        </w:rPr>
        <w:t>,</w:t>
      </w:r>
      <w:r w:rsidR="00CC043A">
        <w:rPr>
          <w:bCs/>
          <w:lang w:bidi="ar-SA"/>
        </w:rPr>
        <w:t xml:space="preserve"> </w:t>
      </w:r>
      <w:r w:rsidR="006A43C7">
        <w:rPr>
          <w:bCs/>
          <w:lang w:bidi="ar-SA"/>
        </w:rPr>
        <w:t xml:space="preserve">as </w:t>
      </w:r>
      <w:r w:rsidR="00BB0EBB">
        <w:rPr>
          <w:bCs/>
          <w:lang w:bidi="ar-SA"/>
        </w:rPr>
        <w:t>appears to be</w:t>
      </w:r>
      <w:r w:rsidR="00C271B4">
        <w:rPr>
          <w:bCs/>
          <w:lang w:bidi="ar-SA"/>
        </w:rPr>
        <w:t xml:space="preserve"> the case with </w:t>
      </w:r>
      <w:r w:rsidR="004F4CCF" w:rsidRPr="00C46C9B">
        <w:rPr>
          <w:bCs/>
          <w:i/>
          <w:lang w:bidi="ar-SA"/>
        </w:rPr>
        <w:t>Coriaria japonica</w:t>
      </w:r>
      <w:r w:rsidR="004F4CCF">
        <w:rPr>
          <w:bCs/>
          <w:lang w:bidi="ar-SA"/>
        </w:rPr>
        <w:t xml:space="preserve"> </w:t>
      </w:r>
      <w:r w:rsidR="0069241A">
        <w:rPr>
          <w:bCs/>
          <w:lang w:bidi="ar-SA"/>
        </w:rPr>
        <w:t xml:space="preserve">berries </w:t>
      </w:r>
      <w:r w:rsidR="004F4CCF">
        <w:rPr>
          <w:bCs/>
          <w:lang w:bidi="ar-SA"/>
        </w:rPr>
        <w:t>(Kinoshita et al 2005).</w:t>
      </w:r>
    </w:p>
    <w:p w:rsidR="00515549" w:rsidRPr="00515549" w:rsidRDefault="0083334F" w:rsidP="00BD21BD">
      <w:pPr>
        <w:pStyle w:val="Heading4"/>
      </w:pPr>
      <w:r>
        <w:t>H</w:t>
      </w:r>
      <w:r w:rsidR="00515549" w:rsidRPr="00515549">
        <w:t>oney</w:t>
      </w:r>
      <w:r>
        <w:t xml:space="preserve"> poisoning</w:t>
      </w:r>
    </w:p>
    <w:p w:rsidR="00AC3ACF" w:rsidRDefault="00515549" w:rsidP="00515549">
      <w:pPr>
        <w:rPr>
          <w:lang w:bidi="ar-SA"/>
        </w:rPr>
      </w:pPr>
      <w:r w:rsidRPr="00515549">
        <w:rPr>
          <w:bCs/>
          <w:lang w:bidi="ar-SA"/>
        </w:rPr>
        <w:t>Toxic honey was known to occur sporadically in New Zealand dating back to the 19</w:t>
      </w:r>
      <w:r w:rsidRPr="00515549">
        <w:rPr>
          <w:bCs/>
          <w:vertAlign w:val="superscript"/>
          <w:lang w:bidi="ar-SA"/>
        </w:rPr>
        <w:t>th</w:t>
      </w:r>
      <w:r w:rsidR="00172730">
        <w:rPr>
          <w:bCs/>
          <w:lang w:bidi="ar-SA"/>
        </w:rPr>
        <w:t xml:space="preserve"> c</w:t>
      </w:r>
      <w:r w:rsidRPr="00515549">
        <w:rPr>
          <w:bCs/>
          <w:lang w:bidi="ar-SA"/>
        </w:rPr>
        <w:t>entury</w:t>
      </w:r>
      <w:r w:rsidR="00E525F7">
        <w:rPr>
          <w:bCs/>
          <w:lang w:bidi="ar-SA"/>
        </w:rPr>
        <w:t xml:space="preserve"> (Goodwin 2013)</w:t>
      </w:r>
      <w:r w:rsidR="003525A8">
        <w:rPr>
          <w:bCs/>
          <w:lang w:bidi="ar-SA"/>
        </w:rPr>
        <w:t>.</w:t>
      </w:r>
      <w:r w:rsidR="003525A8">
        <w:rPr>
          <w:lang w:bidi="ar-SA"/>
        </w:rPr>
        <w:t xml:space="preserve"> </w:t>
      </w:r>
      <w:r w:rsidR="00AC3ACF" w:rsidRPr="00AC3ACF">
        <w:rPr>
          <w:lang w:bidi="ar-SA"/>
        </w:rPr>
        <w:t>Following the 2008 poisoning incident, NZFSA published a discussion paper</w:t>
      </w:r>
      <w:r w:rsidR="000E735E">
        <w:rPr>
          <w:lang w:bidi="ar-SA"/>
        </w:rPr>
        <w:t xml:space="preserve"> which included a </w:t>
      </w:r>
      <w:r w:rsidR="00F702B5">
        <w:rPr>
          <w:lang w:bidi="ar-SA"/>
        </w:rPr>
        <w:t xml:space="preserve">tabulation </w:t>
      </w:r>
      <w:r w:rsidR="000E735E">
        <w:rPr>
          <w:lang w:bidi="ar-SA"/>
        </w:rPr>
        <w:t>of reported cases of toxicity from consumption of New Zealand honey (NZFSA 2008).</w:t>
      </w:r>
      <w:r w:rsidR="00F702B5">
        <w:rPr>
          <w:lang w:bidi="ar-SA"/>
        </w:rPr>
        <w:t xml:space="preserve"> At least 25 separate poisoning incidents have occurred since </w:t>
      </w:r>
      <w:r w:rsidR="001E1BBE">
        <w:rPr>
          <w:lang w:bidi="ar-SA"/>
        </w:rPr>
        <w:t>the late 19</w:t>
      </w:r>
      <w:r w:rsidR="001E1BBE" w:rsidRPr="00C46C9B">
        <w:rPr>
          <w:vertAlign w:val="superscript"/>
          <w:lang w:bidi="ar-SA"/>
        </w:rPr>
        <w:t>th</w:t>
      </w:r>
      <w:r w:rsidR="001E1BBE">
        <w:rPr>
          <w:lang w:bidi="ar-SA"/>
        </w:rPr>
        <w:t xml:space="preserve"> century </w:t>
      </w:r>
      <w:r w:rsidR="00F702B5">
        <w:rPr>
          <w:lang w:bidi="ar-SA"/>
        </w:rPr>
        <w:t xml:space="preserve">with </w:t>
      </w:r>
      <w:r w:rsidR="0004754A">
        <w:rPr>
          <w:lang w:bidi="ar-SA"/>
        </w:rPr>
        <w:t>more than</w:t>
      </w:r>
      <w:r w:rsidR="00F702B5">
        <w:rPr>
          <w:lang w:bidi="ar-SA"/>
        </w:rPr>
        <w:t xml:space="preserve"> 180 individuals affected resulting in </w:t>
      </w:r>
      <w:r w:rsidR="001E1BBE">
        <w:rPr>
          <w:lang w:bidi="ar-SA"/>
        </w:rPr>
        <w:t xml:space="preserve">over 40 </w:t>
      </w:r>
      <w:r w:rsidR="00F702B5">
        <w:rPr>
          <w:lang w:bidi="ar-SA"/>
        </w:rPr>
        <w:t>hospitalisations and four deaths.</w:t>
      </w:r>
    </w:p>
    <w:p w:rsidR="003525A8" w:rsidRDefault="003525A8" w:rsidP="00515549">
      <w:pPr>
        <w:rPr>
          <w:lang w:bidi="ar-SA"/>
        </w:rPr>
      </w:pPr>
    </w:p>
    <w:p w:rsidR="004106F5" w:rsidRPr="00515549" w:rsidRDefault="0010709B" w:rsidP="004106F5">
      <w:pPr>
        <w:rPr>
          <w:bCs/>
          <w:lang w:bidi="ar-SA"/>
        </w:rPr>
      </w:pPr>
      <w:r>
        <w:rPr>
          <w:lang w:bidi="ar-SA"/>
        </w:rPr>
        <w:t xml:space="preserve">There have been several reviews on </w:t>
      </w:r>
      <w:r w:rsidR="00E50E88">
        <w:rPr>
          <w:lang w:bidi="ar-SA"/>
        </w:rPr>
        <w:t>toxic</w:t>
      </w:r>
      <w:r w:rsidR="0038149A">
        <w:rPr>
          <w:lang w:bidi="ar-SA"/>
        </w:rPr>
        <w:t xml:space="preserve"> New Zealand honey</w:t>
      </w:r>
      <w:r w:rsidR="00E50E88">
        <w:rPr>
          <w:lang w:bidi="ar-SA"/>
        </w:rPr>
        <w:t xml:space="preserve"> (Palmer-Jones 1965; Love 1990, Sutherland 1992, Goodwin 2013)</w:t>
      </w:r>
      <w:r>
        <w:rPr>
          <w:lang w:bidi="ar-SA"/>
        </w:rPr>
        <w:t xml:space="preserve">. </w:t>
      </w:r>
      <w:r w:rsidR="005408CA">
        <w:rPr>
          <w:bCs/>
          <w:lang w:bidi="ar-SA"/>
        </w:rPr>
        <w:t>Palmer-Jones (1965)</w:t>
      </w:r>
      <w:r w:rsidR="004106F5" w:rsidRPr="00515549">
        <w:rPr>
          <w:bCs/>
          <w:lang w:bidi="ar-SA"/>
        </w:rPr>
        <w:t xml:space="preserve"> stated that some </w:t>
      </w:r>
      <w:r w:rsidR="004106F5">
        <w:rPr>
          <w:bCs/>
          <w:lang w:bidi="ar-SA"/>
        </w:rPr>
        <w:t>people</w:t>
      </w:r>
      <w:r w:rsidR="004106F5" w:rsidRPr="00515549">
        <w:rPr>
          <w:bCs/>
          <w:lang w:bidi="ar-SA"/>
        </w:rPr>
        <w:t xml:space="preserve"> have been severely affected by </w:t>
      </w:r>
      <w:r w:rsidR="005408CA">
        <w:rPr>
          <w:bCs/>
          <w:lang w:bidi="ar-SA"/>
        </w:rPr>
        <w:t>as little as 5 g</w:t>
      </w:r>
      <w:r w:rsidR="004106F5" w:rsidRPr="00515549">
        <w:rPr>
          <w:bCs/>
          <w:lang w:bidi="ar-SA"/>
        </w:rPr>
        <w:t xml:space="preserve"> of honey</w:t>
      </w:r>
      <w:r w:rsidR="0038149A">
        <w:rPr>
          <w:bCs/>
          <w:lang w:bidi="ar-SA"/>
        </w:rPr>
        <w:t>, h</w:t>
      </w:r>
      <w:r w:rsidR="00130F59">
        <w:rPr>
          <w:bCs/>
          <w:lang w:bidi="ar-SA"/>
        </w:rPr>
        <w:t>owever</w:t>
      </w:r>
      <w:r w:rsidR="004106F5" w:rsidRPr="00515549">
        <w:rPr>
          <w:bCs/>
          <w:lang w:bidi="ar-SA"/>
        </w:rPr>
        <w:t xml:space="preserve"> the concentrations of tutin and hyenanchin in such honey samples are not known. Conversely, in cases where the concentrations of tutin and hyenanchin in consumed honey were measured, albeit using </w:t>
      </w:r>
      <w:r w:rsidR="004106F5">
        <w:rPr>
          <w:bCs/>
          <w:lang w:bidi="ar-SA"/>
        </w:rPr>
        <w:t xml:space="preserve">the </w:t>
      </w:r>
      <w:r w:rsidR="004106F5" w:rsidRPr="00515549">
        <w:rPr>
          <w:bCs/>
          <w:lang w:bidi="ar-SA"/>
        </w:rPr>
        <w:t xml:space="preserve">relatively </w:t>
      </w:r>
      <w:r w:rsidR="001A1509">
        <w:rPr>
          <w:bCs/>
          <w:lang w:bidi="ar-SA"/>
        </w:rPr>
        <w:t xml:space="preserve">insensitive </w:t>
      </w:r>
      <w:r w:rsidR="004106F5" w:rsidRPr="00515549">
        <w:rPr>
          <w:bCs/>
          <w:lang w:bidi="ar-SA"/>
        </w:rPr>
        <w:t>methods</w:t>
      </w:r>
      <w:r w:rsidR="004106F5">
        <w:rPr>
          <w:bCs/>
          <w:lang w:bidi="ar-SA"/>
        </w:rPr>
        <w:t xml:space="preserve"> </w:t>
      </w:r>
      <w:r w:rsidR="00CF213D">
        <w:rPr>
          <w:bCs/>
          <w:lang w:bidi="ar-SA"/>
        </w:rPr>
        <w:t>available</w:t>
      </w:r>
      <w:r w:rsidR="004106F5">
        <w:rPr>
          <w:bCs/>
          <w:lang w:bidi="ar-SA"/>
        </w:rPr>
        <w:t xml:space="preserve"> at the time</w:t>
      </w:r>
      <w:r w:rsidR="00857781">
        <w:rPr>
          <w:bCs/>
          <w:lang w:bidi="ar-SA"/>
        </w:rPr>
        <w:t xml:space="preserve"> (thin layer chromatography and animal bioassays)</w:t>
      </w:r>
      <w:r w:rsidR="004106F5" w:rsidRPr="00515549">
        <w:rPr>
          <w:bCs/>
          <w:lang w:bidi="ar-SA"/>
        </w:rPr>
        <w:t xml:space="preserve">, the amount of honey consumed was not reported. It was therefore concluded by Palmer-Jones that the </w:t>
      </w:r>
      <w:r w:rsidR="004106F5" w:rsidRPr="008E28A1">
        <w:rPr>
          <w:bCs/>
          <w:i/>
          <w:lang w:bidi="ar-SA"/>
        </w:rPr>
        <w:t>‘exact level of hyenanchin and tutin which affects humans cannot yet be determined accurately’</w:t>
      </w:r>
      <w:r w:rsidR="004106F5" w:rsidRPr="00515549">
        <w:rPr>
          <w:bCs/>
          <w:lang w:bidi="ar-SA"/>
        </w:rPr>
        <w:t xml:space="preserve">. </w:t>
      </w:r>
    </w:p>
    <w:p w:rsidR="00044238" w:rsidRDefault="00044238">
      <w:pPr>
        <w:widowControl/>
        <w:rPr>
          <w:lang w:bidi="ar-SA"/>
        </w:rPr>
      </w:pPr>
    </w:p>
    <w:p w:rsidR="00680F3A" w:rsidRDefault="00FC7CF3" w:rsidP="00515549">
      <w:pPr>
        <w:rPr>
          <w:lang w:bidi="ar-SA"/>
        </w:rPr>
      </w:pPr>
      <w:r>
        <w:rPr>
          <w:lang w:bidi="ar-SA"/>
        </w:rPr>
        <w:t xml:space="preserve">A review published in 1990 </w:t>
      </w:r>
      <w:r w:rsidR="00B15B6B">
        <w:rPr>
          <w:lang w:bidi="ar-SA"/>
        </w:rPr>
        <w:t xml:space="preserve">included a </w:t>
      </w:r>
      <w:r w:rsidR="0085108E">
        <w:rPr>
          <w:lang w:bidi="ar-SA"/>
        </w:rPr>
        <w:t>d</w:t>
      </w:r>
      <w:r w:rsidR="00B15B6B">
        <w:rPr>
          <w:lang w:bidi="ar-SA"/>
        </w:rPr>
        <w:t>iscussion of</w:t>
      </w:r>
      <w:r>
        <w:rPr>
          <w:lang w:bidi="ar-SA"/>
        </w:rPr>
        <w:t xml:space="preserve"> </w:t>
      </w:r>
      <w:r w:rsidR="00BF7120">
        <w:rPr>
          <w:lang w:bidi="ar-SA"/>
        </w:rPr>
        <w:t>i</w:t>
      </w:r>
      <w:r w:rsidR="00B15B6B">
        <w:rPr>
          <w:lang w:bidi="ar-SA"/>
        </w:rPr>
        <w:t>mprove</w:t>
      </w:r>
      <w:r w:rsidR="00914E12">
        <w:rPr>
          <w:lang w:bidi="ar-SA"/>
        </w:rPr>
        <w:t>d</w:t>
      </w:r>
      <w:r>
        <w:rPr>
          <w:lang w:bidi="ar-SA"/>
        </w:rPr>
        <w:t xml:space="preserve"> analytical methods</w:t>
      </w:r>
      <w:r w:rsidR="00B15B6B">
        <w:rPr>
          <w:lang w:bidi="ar-SA"/>
        </w:rPr>
        <w:t xml:space="preserve"> for the measurement of tutin and hyenanchin in honey</w:t>
      </w:r>
      <w:r>
        <w:rPr>
          <w:lang w:bidi="ar-SA"/>
        </w:rPr>
        <w:t xml:space="preserve">, namely </w:t>
      </w:r>
      <w:r w:rsidR="00D426D4">
        <w:rPr>
          <w:lang w:bidi="ar-SA"/>
        </w:rPr>
        <w:t>those utilising</w:t>
      </w:r>
      <w:r w:rsidR="00A948F1">
        <w:rPr>
          <w:lang w:bidi="ar-SA"/>
        </w:rPr>
        <w:t xml:space="preserve"> </w:t>
      </w:r>
      <w:r>
        <w:rPr>
          <w:lang w:bidi="ar-SA"/>
        </w:rPr>
        <w:t xml:space="preserve">gas chromatography (GC) and high performance liquid chromatography (HPLC) (Love </w:t>
      </w:r>
      <w:r w:rsidR="0038149A">
        <w:rPr>
          <w:lang w:bidi="ar-SA"/>
        </w:rPr>
        <w:t>1990)</w:t>
      </w:r>
      <w:r>
        <w:rPr>
          <w:lang w:bidi="ar-SA"/>
        </w:rPr>
        <w:t>.</w:t>
      </w:r>
      <w:r w:rsidR="00511C39">
        <w:rPr>
          <w:lang w:bidi="ar-SA"/>
        </w:rPr>
        <w:t xml:space="preserve"> A GC method published in 1980 </w:t>
      </w:r>
      <w:r w:rsidR="00147BA4">
        <w:rPr>
          <w:lang w:bidi="ar-SA"/>
        </w:rPr>
        <w:t xml:space="preserve">was used to analyse four honey samples responsible for human poisonings (Swallow et al 1980). </w:t>
      </w:r>
      <w:r w:rsidR="00680F3A">
        <w:rPr>
          <w:lang w:bidi="ar-SA"/>
        </w:rPr>
        <w:br w:type="page"/>
      </w:r>
    </w:p>
    <w:p w:rsidR="0038149A" w:rsidRDefault="00147BA4" w:rsidP="00515549">
      <w:pPr>
        <w:rPr>
          <w:lang w:bidi="ar-SA"/>
        </w:rPr>
      </w:pPr>
      <w:r>
        <w:rPr>
          <w:lang w:bidi="ar-SA"/>
        </w:rPr>
        <w:lastRenderedPageBreak/>
        <w:t>T</w:t>
      </w:r>
      <w:r w:rsidR="00511C39">
        <w:rPr>
          <w:lang w:bidi="ar-SA"/>
        </w:rPr>
        <w:t>utin concentration</w:t>
      </w:r>
      <w:r>
        <w:rPr>
          <w:lang w:bidi="ar-SA"/>
        </w:rPr>
        <w:t>s ranged</w:t>
      </w:r>
      <w:r w:rsidR="00511C39">
        <w:rPr>
          <w:lang w:bidi="ar-SA"/>
        </w:rPr>
        <w:t xml:space="preserve"> from 34 to 95 mg/kg</w:t>
      </w:r>
      <w:r>
        <w:rPr>
          <w:lang w:bidi="ar-SA"/>
        </w:rPr>
        <w:t xml:space="preserve"> and hyenanchin concentrations ranged from 63 to 170 mg/kg</w:t>
      </w:r>
      <w:r w:rsidR="004A40EB">
        <w:rPr>
          <w:lang w:bidi="ar-SA"/>
        </w:rPr>
        <w:t>.</w:t>
      </w:r>
      <w:r w:rsidR="00FC7CF3">
        <w:rPr>
          <w:lang w:bidi="ar-SA"/>
        </w:rPr>
        <w:t xml:space="preserve"> </w:t>
      </w:r>
      <w:r w:rsidR="004A40EB">
        <w:rPr>
          <w:lang w:bidi="ar-SA"/>
        </w:rPr>
        <w:t xml:space="preserve">Love (1990) </w:t>
      </w:r>
      <w:r w:rsidR="00FC7CF3">
        <w:rPr>
          <w:lang w:bidi="ar-SA"/>
        </w:rPr>
        <w:t xml:space="preserve">stated that the HPLC method was more convenient and reliable than the GC method, but that it </w:t>
      </w:r>
      <w:r w:rsidR="00FC7CF3" w:rsidRPr="00C46C9B">
        <w:rPr>
          <w:i/>
          <w:lang w:bidi="ar-SA"/>
        </w:rPr>
        <w:t>would</w:t>
      </w:r>
      <w:r w:rsidR="0069241A">
        <w:rPr>
          <w:lang w:bidi="ar-SA"/>
        </w:rPr>
        <w:t xml:space="preserve"> </w:t>
      </w:r>
      <w:r w:rsidR="00FC7CF3" w:rsidRPr="00C46C9B">
        <w:rPr>
          <w:i/>
          <w:lang w:bidi="ar-SA"/>
        </w:rPr>
        <w:t>have to be further developed if levels of toxin below about 2 mg/kg were considered of significant concern</w:t>
      </w:r>
      <w:r w:rsidR="00FC7CF3">
        <w:rPr>
          <w:lang w:bidi="ar-SA"/>
        </w:rPr>
        <w:t>.</w:t>
      </w:r>
    </w:p>
    <w:p w:rsidR="0038149A" w:rsidRDefault="0038149A" w:rsidP="00515549">
      <w:pPr>
        <w:rPr>
          <w:lang w:bidi="ar-SA"/>
        </w:rPr>
      </w:pPr>
    </w:p>
    <w:p w:rsidR="00E525F7" w:rsidRPr="00BD452D" w:rsidRDefault="00E525F7" w:rsidP="00E525F7">
      <w:r w:rsidRPr="00FD3021">
        <w:t xml:space="preserve">The most recent </w:t>
      </w:r>
      <w:r>
        <w:t xml:space="preserve">poisoning </w:t>
      </w:r>
      <w:r w:rsidRPr="00FD3021">
        <w:t xml:space="preserve">incident occurred in </w:t>
      </w:r>
      <w:r>
        <w:t>early</w:t>
      </w:r>
      <w:r w:rsidRPr="00FD3021">
        <w:t xml:space="preserve"> 2008</w:t>
      </w:r>
      <w:r>
        <w:t xml:space="preserve">, in which </w:t>
      </w:r>
      <w:r w:rsidRPr="00FD3021">
        <w:t xml:space="preserve">there were </w:t>
      </w:r>
      <w:r w:rsidRPr="00822B71">
        <w:t xml:space="preserve">11 confirmed and 9 probable cases of </w:t>
      </w:r>
      <w:r>
        <w:t xml:space="preserve">intoxication attributed to </w:t>
      </w:r>
      <w:r w:rsidRPr="00822B71">
        <w:t xml:space="preserve">tutin </w:t>
      </w:r>
      <w:r w:rsidRPr="00FD3021">
        <w:t xml:space="preserve">with the main </w:t>
      </w:r>
      <w:r>
        <w:t xml:space="preserve">clinical signs and </w:t>
      </w:r>
      <w:r w:rsidRPr="00FD3021">
        <w:t xml:space="preserve">symptoms being </w:t>
      </w:r>
      <w:r>
        <w:t xml:space="preserve">nausea, headache, </w:t>
      </w:r>
      <w:r w:rsidRPr="00FD3021">
        <w:t xml:space="preserve">vomiting </w:t>
      </w:r>
      <w:r>
        <w:t xml:space="preserve">and </w:t>
      </w:r>
      <w:r w:rsidR="009C4596">
        <w:t>convulsions</w:t>
      </w:r>
      <w:r>
        <w:t xml:space="preserve"> </w:t>
      </w:r>
      <w:r w:rsidRPr="00FD3021">
        <w:t xml:space="preserve">(NZFSA </w:t>
      </w:r>
      <w:r w:rsidR="00E50E88">
        <w:t xml:space="preserve">2008 and </w:t>
      </w:r>
      <w:r w:rsidRPr="00FD3021">
        <w:t>unpublished data</w:t>
      </w:r>
      <w:r>
        <w:t>; Beasley 2008; Chancellor 2013</w:t>
      </w:r>
      <w:r w:rsidRPr="00FD3021">
        <w:t xml:space="preserve">). </w:t>
      </w:r>
      <w:r w:rsidR="001121EC" w:rsidRPr="001121EC">
        <w:t xml:space="preserve">All of the cases of intoxication were associated with the consumption of comb honey produced by one supplier. </w:t>
      </w:r>
      <w:r w:rsidR="002241E0" w:rsidRPr="002241E0">
        <w:t>Confirmed cases were defined as those who experienced vomiting or any neurological symptom within 24 hours of eating comb honey, and for which analysis of left over honey confirmed the presence of tutin. Probable cases were those which experienced vomiting and any neurological symptom within 24 hours of eating comb honey, but for which no honey remained for analysis or tutin was not detected in remaining honey.</w:t>
      </w:r>
      <w:r w:rsidR="002241E0">
        <w:t xml:space="preserve"> </w:t>
      </w:r>
      <w:r>
        <w:t xml:space="preserve">Analysis of </w:t>
      </w:r>
      <w:r>
        <w:rPr>
          <w:bCs/>
        </w:rPr>
        <w:t>h</w:t>
      </w:r>
      <w:r w:rsidRPr="00B656B9">
        <w:rPr>
          <w:bCs/>
        </w:rPr>
        <w:t xml:space="preserve">oney samples associated with the </w:t>
      </w:r>
      <w:r>
        <w:rPr>
          <w:bCs/>
        </w:rPr>
        <w:t>11 confirmed cases</w:t>
      </w:r>
      <w:r w:rsidRPr="00B656B9">
        <w:rPr>
          <w:bCs/>
        </w:rPr>
        <w:t xml:space="preserve"> revealed the presence of tutin at levels rang</w:t>
      </w:r>
      <w:r w:rsidR="00E50E88">
        <w:rPr>
          <w:bCs/>
        </w:rPr>
        <w:t xml:space="preserve">ing from </w:t>
      </w:r>
      <w:r w:rsidR="003E11BB">
        <w:rPr>
          <w:bCs/>
        </w:rPr>
        <w:t>29 to 49</w:t>
      </w:r>
      <w:r w:rsidR="00E50E88">
        <w:rPr>
          <w:bCs/>
        </w:rPr>
        <w:t> </w:t>
      </w:r>
      <w:r w:rsidRPr="00B656B9">
        <w:rPr>
          <w:bCs/>
        </w:rPr>
        <w:t>mg per kg honey. Hyenanchin was present at levels approximate</w:t>
      </w:r>
      <w:r w:rsidR="003E11BB">
        <w:rPr>
          <w:bCs/>
        </w:rPr>
        <w:t xml:space="preserve">ly 6-times those of tutin (i.e. </w:t>
      </w:r>
      <w:r w:rsidRPr="00B656B9">
        <w:rPr>
          <w:bCs/>
        </w:rPr>
        <w:t>180 to 300 mg/kg).</w:t>
      </w:r>
    </w:p>
    <w:p w:rsidR="00515549" w:rsidRPr="00515549" w:rsidRDefault="00515549" w:rsidP="00515549">
      <w:pPr>
        <w:rPr>
          <w:bCs/>
          <w:lang w:bidi="ar-SA"/>
        </w:rPr>
      </w:pPr>
    </w:p>
    <w:p w:rsidR="00515549" w:rsidRPr="00515549" w:rsidRDefault="00515549" w:rsidP="00515549">
      <w:pPr>
        <w:rPr>
          <w:bCs/>
          <w:lang w:bidi="ar-SA"/>
        </w:rPr>
      </w:pPr>
      <w:r w:rsidRPr="00515549">
        <w:rPr>
          <w:bCs/>
          <w:lang w:bidi="ar-SA"/>
        </w:rPr>
        <w:t xml:space="preserve">Case details from the 2008 incident were provided by NZFSA (unpublished data). </w:t>
      </w:r>
      <w:r w:rsidR="00E50E88">
        <w:rPr>
          <w:bCs/>
          <w:lang w:bidi="ar-SA"/>
        </w:rPr>
        <w:t>Clinical signs and symptoms</w:t>
      </w:r>
      <w:r w:rsidR="00BC116E">
        <w:rPr>
          <w:bCs/>
          <w:lang w:bidi="ar-SA"/>
        </w:rPr>
        <w:t xml:space="preserve"> for confirmed cases</w:t>
      </w:r>
      <w:r w:rsidR="00E50E88">
        <w:rPr>
          <w:bCs/>
          <w:lang w:bidi="ar-SA"/>
        </w:rPr>
        <w:t xml:space="preserve"> included</w:t>
      </w:r>
      <w:r w:rsidRPr="00515549">
        <w:rPr>
          <w:bCs/>
          <w:lang w:bidi="ar-SA"/>
        </w:rPr>
        <w:t xml:space="preserve"> nausea,</w:t>
      </w:r>
      <w:r w:rsidR="00C67959">
        <w:rPr>
          <w:bCs/>
          <w:lang w:bidi="ar-SA"/>
        </w:rPr>
        <w:t xml:space="preserve"> vomiting, headache, dizziness</w:t>
      </w:r>
      <w:r w:rsidRPr="00515549">
        <w:rPr>
          <w:bCs/>
          <w:lang w:bidi="ar-SA"/>
        </w:rPr>
        <w:t xml:space="preserve">, delirium, </w:t>
      </w:r>
      <w:r w:rsidR="002845A6">
        <w:rPr>
          <w:bCs/>
          <w:lang w:bidi="ar-SA"/>
        </w:rPr>
        <w:t>convulsions</w:t>
      </w:r>
      <w:r w:rsidRPr="00515549">
        <w:rPr>
          <w:bCs/>
          <w:lang w:bidi="ar-SA"/>
        </w:rPr>
        <w:t xml:space="preserve">, and in </w:t>
      </w:r>
      <w:r w:rsidR="00BC116E">
        <w:rPr>
          <w:bCs/>
          <w:lang w:bidi="ar-SA"/>
        </w:rPr>
        <w:t>one case</w:t>
      </w:r>
      <w:r w:rsidRPr="00515549">
        <w:rPr>
          <w:bCs/>
          <w:lang w:bidi="ar-SA"/>
        </w:rPr>
        <w:t xml:space="preserve">, coma. </w:t>
      </w:r>
      <w:r w:rsidR="00656727">
        <w:rPr>
          <w:bCs/>
          <w:lang w:bidi="ar-SA"/>
        </w:rPr>
        <w:t>T</w:t>
      </w:r>
      <w:r w:rsidR="00656727" w:rsidRPr="00515549">
        <w:rPr>
          <w:bCs/>
          <w:lang w:bidi="ar-SA"/>
        </w:rPr>
        <w:t>here was little information recorded on the severity of particular signs and symptoms in affected individuals.</w:t>
      </w:r>
      <w:r w:rsidR="001121EC">
        <w:rPr>
          <w:bCs/>
          <w:lang w:bidi="ar-SA"/>
        </w:rPr>
        <w:t xml:space="preserve"> </w:t>
      </w:r>
      <w:r w:rsidRPr="00515549">
        <w:rPr>
          <w:bCs/>
          <w:lang w:bidi="ar-SA"/>
        </w:rPr>
        <w:t xml:space="preserve">For </w:t>
      </w:r>
      <w:r w:rsidR="007515C4">
        <w:rPr>
          <w:bCs/>
          <w:lang w:bidi="ar-SA"/>
        </w:rPr>
        <w:t xml:space="preserve">the </w:t>
      </w:r>
      <w:r w:rsidRPr="00515549">
        <w:rPr>
          <w:bCs/>
          <w:lang w:bidi="ar-SA"/>
        </w:rPr>
        <w:t xml:space="preserve">11 </w:t>
      </w:r>
      <w:r w:rsidR="007515C4">
        <w:rPr>
          <w:bCs/>
          <w:lang w:bidi="ar-SA"/>
        </w:rPr>
        <w:t xml:space="preserve">confirmed cases </w:t>
      </w:r>
      <w:r w:rsidR="00D71137">
        <w:rPr>
          <w:bCs/>
          <w:lang w:bidi="ar-SA"/>
        </w:rPr>
        <w:t xml:space="preserve">(7 male) </w:t>
      </w:r>
      <w:r w:rsidR="00752ED8">
        <w:rPr>
          <w:bCs/>
          <w:lang w:bidi="ar-SA"/>
        </w:rPr>
        <w:t>r</w:t>
      </w:r>
      <w:r w:rsidR="00573CEB" w:rsidRPr="00573CEB">
        <w:rPr>
          <w:bCs/>
          <w:lang w:bidi="ar-SA"/>
        </w:rPr>
        <w:t xml:space="preserve">eported amounts of honey consumed ranged from one teaspoon to </w:t>
      </w:r>
      <w:r w:rsidR="00AC3ACF" w:rsidRPr="00C46C9B">
        <w:rPr>
          <w:bCs/>
          <w:i/>
          <w:lang w:bidi="ar-SA"/>
        </w:rPr>
        <w:t>‘four pieces of toast smeared thickly with honey’</w:t>
      </w:r>
      <w:r w:rsidR="00573CEB" w:rsidRPr="00573CEB">
        <w:rPr>
          <w:bCs/>
          <w:lang w:bidi="ar-SA"/>
        </w:rPr>
        <w:t>.</w:t>
      </w:r>
      <w:r w:rsidR="00B14C3A" w:rsidRPr="00B14C3A">
        <w:rPr>
          <w:bCs/>
          <w:lang w:bidi="ar-SA"/>
        </w:rPr>
        <w:t xml:space="preserve"> </w:t>
      </w:r>
      <w:r w:rsidR="00B14C3A">
        <w:rPr>
          <w:bCs/>
          <w:lang w:bidi="ar-SA"/>
        </w:rPr>
        <w:t xml:space="preserve">Ten of the 11 confirmed cases were adults </w:t>
      </w:r>
      <w:r w:rsidR="00D71137">
        <w:rPr>
          <w:bCs/>
          <w:lang w:bidi="ar-SA"/>
        </w:rPr>
        <w:t xml:space="preserve">ranging in age from </w:t>
      </w:r>
      <w:r w:rsidR="00B14C3A" w:rsidRPr="00515549">
        <w:rPr>
          <w:bCs/>
          <w:lang w:bidi="ar-SA"/>
        </w:rPr>
        <w:t>3</w:t>
      </w:r>
      <w:r w:rsidR="00B14C3A">
        <w:rPr>
          <w:bCs/>
          <w:lang w:bidi="ar-SA"/>
        </w:rPr>
        <w:t>2</w:t>
      </w:r>
      <w:r w:rsidR="00B14C3A" w:rsidRPr="00515549">
        <w:rPr>
          <w:bCs/>
          <w:lang w:bidi="ar-SA"/>
        </w:rPr>
        <w:t xml:space="preserve"> to 74 y</w:t>
      </w:r>
      <w:r w:rsidR="00B14C3A">
        <w:rPr>
          <w:bCs/>
          <w:lang w:bidi="ar-SA"/>
        </w:rPr>
        <w:t>) with the remaining confirmed case a 3 year old boy.</w:t>
      </w:r>
      <w:r w:rsidR="00D71137">
        <w:rPr>
          <w:bCs/>
          <w:lang w:bidi="ar-SA"/>
        </w:rPr>
        <w:t xml:space="preserve"> T</w:t>
      </w:r>
      <w:r w:rsidR="00D337D0">
        <w:rPr>
          <w:bCs/>
          <w:lang w:bidi="ar-SA"/>
        </w:rPr>
        <w:t>he 9 probable cases</w:t>
      </w:r>
      <w:r w:rsidR="00D71137">
        <w:rPr>
          <w:bCs/>
          <w:lang w:bidi="ar-SA"/>
        </w:rPr>
        <w:t xml:space="preserve"> (7 male) comprised 8 adults (34-76 y) and a boy aged 12 years.</w:t>
      </w:r>
    </w:p>
    <w:p w:rsidR="00515549" w:rsidRPr="00515549" w:rsidRDefault="00515549" w:rsidP="00515549">
      <w:pPr>
        <w:rPr>
          <w:bCs/>
          <w:lang w:bidi="ar-SA"/>
        </w:rPr>
      </w:pPr>
    </w:p>
    <w:p w:rsidR="00515549" w:rsidRPr="00515549" w:rsidRDefault="00515549" w:rsidP="00515549">
      <w:pPr>
        <w:rPr>
          <w:bCs/>
          <w:lang w:bidi="ar-SA"/>
        </w:rPr>
      </w:pPr>
      <w:r w:rsidRPr="00515549">
        <w:rPr>
          <w:bCs/>
          <w:lang w:bidi="ar-SA"/>
        </w:rPr>
        <w:t>The onset of toxicity</w:t>
      </w:r>
      <w:r w:rsidR="002E2764">
        <w:rPr>
          <w:bCs/>
          <w:lang w:bidi="ar-SA"/>
        </w:rPr>
        <w:t xml:space="preserve"> for confirmed cases</w:t>
      </w:r>
      <w:r w:rsidRPr="00515549">
        <w:rPr>
          <w:bCs/>
          <w:lang w:bidi="ar-SA"/>
        </w:rPr>
        <w:t xml:space="preserve">, as indicated by the first </w:t>
      </w:r>
      <w:r w:rsidR="001121EC">
        <w:rPr>
          <w:bCs/>
          <w:lang w:bidi="ar-SA"/>
        </w:rPr>
        <w:t xml:space="preserve">clinical sign or </w:t>
      </w:r>
      <w:r w:rsidRPr="00515549">
        <w:rPr>
          <w:bCs/>
          <w:lang w:bidi="ar-SA"/>
        </w:rPr>
        <w:t xml:space="preserve">symptom evident following honey consumption, was highly variable, ranging from 0.5 to 17 h </w:t>
      </w:r>
      <w:r w:rsidR="00AB6B10">
        <w:rPr>
          <w:bCs/>
          <w:lang w:bidi="ar-SA"/>
        </w:rPr>
        <w:t xml:space="preserve">after honey consumption, </w:t>
      </w:r>
      <w:r w:rsidRPr="00515549">
        <w:rPr>
          <w:bCs/>
          <w:lang w:bidi="ar-SA"/>
        </w:rPr>
        <w:t xml:space="preserve">with a mean of 7.3 h and median of 7.5 h. </w:t>
      </w:r>
      <w:r w:rsidR="009E495F">
        <w:rPr>
          <w:bCs/>
          <w:lang w:bidi="ar-SA"/>
        </w:rPr>
        <w:t>V</w:t>
      </w:r>
      <w:r w:rsidRPr="00515549">
        <w:rPr>
          <w:bCs/>
          <w:lang w:bidi="ar-SA"/>
        </w:rPr>
        <w:t>omiting</w:t>
      </w:r>
      <w:r w:rsidR="009E495F">
        <w:rPr>
          <w:bCs/>
          <w:lang w:bidi="ar-SA"/>
        </w:rPr>
        <w:t>, which was reported for 8 of the 11 confirmed cases, showed relatively low variability in onset time (</w:t>
      </w:r>
      <w:r w:rsidRPr="00515549">
        <w:rPr>
          <w:bCs/>
          <w:lang w:bidi="ar-SA"/>
        </w:rPr>
        <w:t>4 to 9 h after</w:t>
      </w:r>
      <w:r w:rsidR="009E495F">
        <w:rPr>
          <w:bCs/>
          <w:lang w:bidi="ar-SA"/>
        </w:rPr>
        <w:t xml:space="preserve"> consumption; mean 6.8 h; </w:t>
      </w:r>
      <w:r w:rsidRPr="00515549">
        <w:rPr>
          <w:bCs/>
          <w:lang w:bidi="ar-SA"/>
        </w:rPr>
        <w:t>median 7.5 h).</w:t>
      </w:r>
      <w:r w:rsidR="00AB6B10">
        <w:rPr>
          <w:bCs/>
          <w:lang w:bidi="ar-SA"/>
        </w:rPr>
        <w:t xml:space="preserve"> </w:t>
      </w:r>
      <w:r w:rsidR="00E208F7">
        <w:rPr>
          <w:bCs/>
          <w:lang w:bidi="ar-SA"/>
        </w:rPr>
        <w:t xml:space="preserve">Six of the confirmed cases reported headache, however no information on severity or duration was recorded. Time of headache onset was recorded for one case (headache at 3 h and again at 16 h post-consumption). </w:t>
      </w:r>
      <w:r w:rsidR="009310E8">
        <w:rPr>
          <w:bCs/>
          <w:lang w:bidi="ar-SA"/>
        </w:rPr>
        <w:t xml:space="preserve">“Giddiness” was reported by 6 of the confirmed cases with onset time ranging from 0.5 to 24 h post-consumption. </w:t>
      </w:r>
      <w:r w:rsidR="00CF213D">
        <w:rPr>
          <w:bCs/>
          <w:lang w:bidi="ar-SA"/>
        </w:rPr>
        <w:t xml:space="preserve">Delirium was reported for 4 of the confirmed cases with an onset time of 7 to 24 h post consumption. Four of the confirmed cases experiences one or more </w:t>
      </w:r>
      <w:r w:rsidR="00F566E9">
        <w:rPr>
          <w:bCs/>
          <w:lang w:bidi="ar-SA"/>
        </w:rPr>
        <w:t xml:space="preserve">convulsions </w:t>
      </w:r>
      <w:r w:rsidR="00152969">
        <w:rPr>
          <w:bCs/>
          <w:lang w:bidi="ar-SA"/>
        </w:rPr>
        <w:t>of d</w:t>
      </w:r>
      <w:r w:rsidRPr="00515549">
        <w:rPr>
          <w:bCs/>
          <w:lang w:bidi="ar-SA"/>
        </w:rPr>
        <w:t xml:space="preserve">uration reported as </w:t>
      </w:r>
      <w:r w:rsidR="00AB6B10">
        <w:rPr>
          <w:bCs/>
          <w:lang w:bidi="ar-SA"/>
        </w:rPr>
        <w:t xml:space="preserve">follows: </w:t>
      </w:r>
      <w:r w:rsidR="00972549">
        <w:rPr>
          <w:bCs/>
          <w:lang w:bidi="ar-SA"/>
        </w:rPr>
        <w:t xml:space="preserve">case </w:t>
      </w:r>
      <w:r w:rsidR="005B4F50">
        <w:rPr>
          <w:bCs/>
          <w:lang w:bidi="ar-SA"/>
        </w:rPr>
        <w:t>1</w:t>
      </w:r>
      <w:r w:rsidR="00972549">
        <w:rPr>
          <w:bCs/>
          <w:lang w:bidi="ar-SA"/>
        </w:rPr>
        <w:t>:</w:t>
      </w:r>
      <w:r w:rsidR="005B4F50">
        <w:rPr>
          <w:bCs/>
          <w:lang w:bidi="ar-SA"/>
        </w:rPr>
        <w:t xml:space="preserve"> </w:t>
      </w:r>
      <w:r w:rsidR="003F74E9">
        <w:rPr>
          <w:bCs/>
          <w:lang w:bidi="ar-SA"/>
        </w:rPr>
        <w:t>3 min;</w:t>
      </w:r>
      <w:r w:rsidRPr="00515549">
        <w:rPr>
          <w:bCs/>
          <w:lang w:bidi="ar-SA"/>
        </w:rPr>
        <w:t xml:space="preserve"> </w:t>
      </w:r>
      <w:r w:rsidR="00972549">
        <w:rPr>
          <w:bCs/>
          <w:lang w:bidi="ar-SA"/>
        </w:rPr>
        <w:t>case 2:</w:t>
      </w:r>
      <w:r w:rsidR="005B4F50">
        <w:rPr>
          <w:bCs/>
          <w:lang w:bidi="ar-SA"/>
        </w:rPr>
        <w:t xml:space="preserve"> </w:t>
      </w:r>
      <w:r w:rsidR="003F74E9">
        <w:rPr>
          <w:bCs/>
          <w:lang w:bidi="ar-SA"/>
        </w:rPr>
        <w:t>5 min;</w:t>
      </w:r>
      <w:r w:rsidRPr="00515549">
        <w:rPr>
          <w:bCs/>
          <w:lang w:bidi="ar-SA"/>
        </w:rPr>
        <w:t xml:space="preserve"> </w:t>
      </w:r>
      <w:r w:rsidR="00972549">
        <w:rPr>
          <w:bCs/>
          <w:lang w:bidi="ar-SA"/>
        </w:rPr>
        <w:t xml:space="preserve">case </w:t>
      </w:r>
      <w:r w:rsidR="005B4F50">
        <w:rPr>
          <w:bCs/>
          <w:lang w:bidi="ar-SA"/>
        </w:rPr>
        <w:t>3</w:t>
      </w:r>
      <w:r w:rsidR="00972549">
        <w:rPr>
          <w:bCs/>
          <w:lang w:bidi="ar-SA"/>
        </w:rPr>
        <w:t>:</w:t>
      </w:r>
      <w:r w:rsidR="005B4F50">
        <w:rPr>
          <w:bCs/>
          <w:lang w:bidi="ar-SA"/>
        </w:rPr>
        <w:t xml:space="preserve"> </w:t>
      </w:r>
      <w:r w:rsidR="003F74E9">
        <w:rPr>
          <w:bCs/>
          <w:lang w:bidi="ar-SA"/>
        </w:rPr>
        <w:t>4 min and</w:t>
      </w:r>
      <w:r w:rsidRPr="00515549">
        <w:rPr>
          <w:bCs/>
          <w:lang w:bidi="ar-SA"/>
        </w:rPr>
        <w:t xml:space="preserve"> 1.5 min (two </w:t>
      </w:r>
      <w:r w:rsidR="00A818AF">
        <w:rPr>
          <w:bCs/>
          <w:lang w:bidi="ar-SA"/>
        </w:rPr>
        <w:t xml:space="preserve">separate </w:t>
      </w:r>
      <w:r w:rsidR="00F566E9">
        <w:rPr>
          <w:bCs/>
          <w:lang w:bidi="ar-SA"/>
        </w:rPr>
        <w:t>convulsions</w:t>
      </w:r>
      <w:r w:rsidR="003F74E9">
        <w:rPr>
          <w:bCs/>
          <w:lang w:bidi="ar-SA"/>
        </w:rPr>
        <w:t>);</w:t>
      </w:r>
      <w:r w:rsidRPr="00515549">
        <w:rPr>
          <w:bCs/>
          <w:lang w:bidi="ar-SA"/>
        </w:rPr>
        <w:t xml:space="preserve"> </w:t>
      </w:r>
      <w:r w:rsidR="00972549">
        <w:rPr>
          <w:bCs/>
          <w:lang w:bidi="ar-SA"/>
        </w:rPr>
        <w:t>and case 4:</w:t>
      </w:r>
      <w:r w:rsidR="005B4F50">
        <w:rPr>
          <w:bCs/>
          <w:lang w:bidi="ar-SA"/>
        </w:rPr>
        <w:t xml:space="preserve"> </w:t>
      </w:r>
      <w:r w:rsidRPr="00515549">
        <w:rPr>
          <w:bCs/>
          <w:lang w:bidi="ar-SA"/>
        </w:rPr>
        <w:t>30 sec</w:t>
      </w:r>
      <w:r w:rsidR="003F74E9">
        <w:rPr>
          <w:bCs/>
          <w:lang w:bidi="ar-SA"/>
        </w:rPr>
        <w:t>, 3 min and</w:t>
      </w:r>
      <w:r w:rsidRPr="00515549">
        <w:rPr>
          <w:bCs/>
          <w:lang w:bidi="ar-SA"/>
        </w:rPr>
        <w:t xml:space="preserve"> 1 min (3 </w:t>
      </w:r>
      <w:r w:rsidR="00A818AF">
        <w:rPr>
          <w:bCs/>
          <w:lang w:bidi="ar-SA"/>
        </w:rPr>
        <w:t xml:space="preserve">separate </w:t>
      </w:r>
      <w:r w:rsidR="00F566E9">
        <w:rPr>
          <w:bCs/>
          <w:lang w:bidi="ar-SA"/>
        </w:rPr>
        <w:t>convulsions</w:t>
      </w:r>
      <w:r w:rsidRPr="00515549">
        <w:rPr>
          <w:bCs/>
          <w:lang w:bidi="ar-SA"/>
        </w:rPr>
        <w:t xml:space="preserve">). </w:t>
      </w:r>
      <w:r w:rsidR="00972549">
        <w:rPr>
          <w:bCs/>
          <w:lang w:bidi="ar-SA"/>
        </w:rPr>
        <w:t>There was minimal information</w:t>
      </w:r>
      <w:r w:rsidRPr="00515549">
        <w:rPr>
          <w:bCs/>
          <w:lang w:bidi="ar-SA"/>
        </w:rPr>
        <w:t xml:space="preserve"> on the duration of other</w:t>
      </w:r>
      <w:r w:rsidR="009A2FC8">
        <w:rPr>
          <w:bCs/>
          <w:lang w:bidi="ar-SA"/>
        </w:rPr>
        <w:t xml:space="preserve"> signs and symptoms</w:t>
      </w:r>
      <w:r w:rsidRPr="00515549">
        <w:rPr>
          <w:bCs/>
          <w:lang w:bidi="ar-SA"/>
        </w:rPr>
        <w:t>.</w:t>
      </w:r>
    </w:p>
    <w:p w:rsidR="00515549" w:rsidRPr="00C46C9B" w:rsidRDefault="005378BC" w:rsidP="00BD21BD">
      <w:pPr>
        <w:pStyle w:val="Heading4"/>
      </w:pPr>
      <w:r>
        <w:t>Human p</w:t>
      </w:r>
      <w:r w:rsidR="0083334F" w:rsidRPr="00C46C9B">
        <w:t>harmacokinetic study with honey containing tutin</w:t>
      </w:r>
    </w:p>
    <w:p w:rsidR="009C1484" w:rsidRDefault="00287D2A" w:rsidP="00A97EC2">
      <w:pPr>
        <w:rPr>
          <w:lang w:bidi="ar-SA"/>
        </w:rPr>
      </w:pPr>
      <w:r>
        <w:rPr>
          <w:lang w:bidi="ar-SA"/>
        </w:rPr>
        <w:t xml:space="preserve">Background </w:t>
      </w:r>
      <w:r w:rsidR="00BD2EBF">
        <w:rPr>
          <w:lang w:bidi="ar-SA"/>
        </w:rPr>
        <w:t>information</w:t>
      </w:r>
      <w:r w:rsidR="008D1763">
        <w:rPr>
          <w:lang w:bidi="ar-SA"/>
        </w:rPr>
        <w:t>, methods</w:t>
      </w:r>
      <w:r w:rsidR="00BD2EBF">
        <w:rPr>
          <w:lang w:bidi="ar-SA"/>
        </w:rPr>
        <w:t xml:space="preserve"> </w:t>
      </w:r>
      <w:r w:rsidR="00CC74E2">
        <w:rPr>
          <w:lang w:bidi="ar-SA"/>
        </w:rPr>
        <w:t>and pharmacokinetic</w:t>
      </w:r>
      <w:r>
        <w:rPr>
          <w:lang w:bidi="ar-SA"/>
        </w:rPr>
        <w:t xml:space="preserve"> </w:t>
      </w:r>
      <w:r w:rsidR="00CC74E2">
        <w:rPr>
          <w:lang w:bidi="ar-SA"/>
        </w:rPr>
        <w:t xml:space="preserve">results from </w:t>
      </w:r>
      <w:r>
        <w:rPr>
          <w:lang w:bidi="ar-SA"/>
        </w:rPr>
        <w:t xml:space="preserve">this study are described </w:t>
      </w:r>
      <w:r w:rsidR="00CC74E2">
        <w:rPr>
          <w:lang w:bidi="ar-SA"/>
        </w:rPr>
        <w:t xml:space="preserve">in </w:t>
      </w:r>
      <w:r w:rsidR="008D1763">
        <w:rPr>
          <w:lang w:bidi="ar-SA"/>
        </w:rPr>
        <w:t>Section 2.2.2</w:t>
      </w:r>
      <w:r>
        <w:rPr>
          <w:lang w:bidi="ar-SA"/>
        </w:rPr>
        <w:t>.</w:t>
      </w:r>
      <w:r w:rsidR="00BD2EBF">
        <w:rPr>
          <w:lang w:bidi="ar-SA"/>
        </w:rPr>
        <w:t xml:space="preserve"> Safety parameters investigated </w:t>
      </w:r>
      <w:r w:rsidR="00A97EC2">
        <w:rPr>
          <w:lang w:bidi="ar-SA"/>
        </w:rPr>
        <w:t>in this study were vital signs (body temperature, heart rate, blood pressure), laboratory values for haematology, biochemistry and complete urinalysis, electrocardiograms (ECG), and adverse events (AEs). The following haematology and biochemistry parameters were assessed: haemoglobin, haematocrit, red blood cell count, white blood cell count, neutrophils, basophils, eosinophils, lymphocytes, monocytes, platelets, sodium, potassium, chloride, bicarbonate, urea, creatinine, glucose, calcium, phosphate, total protein, albumin, bilirubin (total and direct), alkaline phosphatase, gamma</w:t>
      </w:r>
      <w:r w:rsidR="001A1509">
        <w:rPr>
          <w:lang w:bidi="ar-SA"/>
        </w:rPr>
        <w:t>-</w:t>
      </w:r>
      <w:r w:rsidR="00A97EC2">
        <w:rPr>
          <w:lang w:bidi="ar-SA"/>
        </w:rPr>
        <w:t>glutamyl transpeptidase, aspartate aminotransferase and alanine aminotransferase.</w:t>
      </w:r>
    </w:p>
    <w:p w:rsidR="00A97EC2" w:rsidRDefault="00A97EC2" w:rsidP="00A97EC2">
      <w:pPr>
        <w:rPr>
          <w:lang w:bidi="ar-SA"/>
        </w:rPr>
      </w:pPr>
    </w:p>
    <w:p w:rsidR="00680F3A" w:rsidRDefault="00680F3A" w:rsidP="004A6183">
      <w:pPr>
        <w:rPr>
          <w:lang w:bidi="ar-SA"/>
        </w:rPr>
      </w:pPr>
      <w:r>
        <w:rPr>
          <w:lang w:bidi="ar-SA"/>
        </w:rPr>
        <w:br w:type="page"/>
      </w:r>
    </w:p>
    <w:p w:rsidR="004A6183" w:rsidRDefault="004A6183" w:rsidP="004A6183">
      <w:pPr>
        <w:rPr>
          <w:lang w:bidi="ar-SA"/>
        </w:rPr>
      </w:pPr>
      <w:r>
        <w:rPr>
          <w:lang w:bidi="ar-SA"/>
        </w:rPr>
        <w:lastRenderedPageBreak/>
        <w:t xml:space="preserve">There were no clinically significant findings for haematology, clinical chemistry, urinalysis and ECG parameters, nor were there any clinically significant conditions or changes from baseline noted on physical examinations. No serious adverse events were observed in the study. Two subjects each reported two adverse events; these were mild in severity, resolved within 2 h and were not associated with any sequelae (Table 4). Subject 5 reported the onset of mild light-headedness 103 min post dose. No associated symptoms were reported, in particular there was no vertigo, no postural component to symptoms, and no features to indicate a vasovagal basis for the event. Heart rate and blood pressure recordings, performed while symptomatic, were unremarkable. The event resolved without intervention at approximately 123 min post dose (event duration 20 min, maximum intensity = mild). Subject 5 also reported the onset of bi-temporal headache approximately 6 h post dose. No associated clinical signs or symptoms were present. One gram of paracetamol was administered orally, with complete resolution of headache by 8 h post dose (event duration </w:t>
      </w:r>
      <w:r w:rsidR="00975865">
        <w:rPr>
          <w:lang w:bidi="ar-SA"/>
        </w:rPr>
        <w:t>2 </w:t>
      </w:r>
      <w:r>
        <w:rPr>
          <w:lang w:bidi="ar-SA"/>
        </w:rPr>
        <w:t>h, maximum intensity = mild). Subject 6 reported the on</w:t>
      </w:r>
      <w:r w:rsidR="00842E80">
        <w:rPr>
          <w:lang w:bidi="ar-SA"/>
        </w:rPr>
        <w:t>set of mild light-headedness 79 </w:t>
      </w:r>
      <w:r>
        <w:rPr>
          <w:lang w:bidi="ar-SA"/>
        </w:rPr>
        <w:t>min post dose. This was described by the subject as feeling ‘very slightly light-headed’ and ’spacey’. The symptoms were intermittent and predominantly present when the subject was having blood collected from his cannula. No associated symptoms were reported, nor were there features to indicate a vasovagal response or postural basis for the symptoms. Heart rate and blood pressure, recorded during the event, were unremarkable. The event resolved without intervention approximately 174 min post dose (event duration 95 min, maximum intensity = mild). Subject 6 later reported the onset of bi-temporal headache approximately 12 h post dose. No associated symptoms were present. The headache resolved without intervention approximately 45 min later (maximum intensity = mild).</w:t>
      </w:r>
    </w:p>
    <w:p w:rsidR="005E4D2D" w:rsidRDefault="005E4D2D" w:rsidP="004A6183">
      <w:pPr>
        <w:rPr>
          <w:lang w:bidi="ar-SA"/>
        </w:rPr>
      </w:pPr>
    </w:p>
    <w:p w:rsidR="005E4D2D" w:rsidRDefault="001E0AA2">
      <w:pPr>
        <w:rPr>
          <w:lang w:bidi="ar-SA"/>
        </w:rPr>
      </w:pPr>
      <w:r>
        <w:rPr>
          <w:lang w:bidi="ar-SA"/>
        </w:rPr>
        <w:t xml:space="preserve">Initially it was considered </w:t>
      </w:r>
      <w:r w:rsidR="00667E34">
        <w:rPr>
          <w:lang w:bidi="ar-SA"/>
        </w:rPr>
        <w:t>likely</w:t>
      </w:r>
      <w:r>
        <w:rPr>
          <w:lang w:bidi="ar-SA"/>
        </w:rPr>
        <w:t xml:space="preserve"> that the mild transient light-headedness and headaches reported by subjects 5 and 6 were unrelated to tutin exposure. </w:t>
      </w:r>
      <w:r w:rsidR="005E4D2D">
        <w:rPr>
          <w:lang w:bidi="ar-SA"/>
        </w:rPr>
        <w:t xml:space="preserve">However, </w:t>
      </w:r>
      <w:r w:rsidR="008F4FF2">
        <w:rPr>
          <w:lang w:bidi="ar-SA"/>
        </w:rPr>
        <w:t xml:space="preserve">the </w:t>
      </w:r>
      <w:r w:rsidR="005E4D2D">
        <w:rPr>
          <w:lang w:bidi="ar-SA"/>
        </w:rPr>
        <w:t>concordance of t</w:t>
      </w:r>
      <w:r w:rsidR="008F4FF2">
        <w:rPr>
          <w:lang w:bidi="ar-SA"/>
        </w:rPr>
        <w:t xml:space="preserve">ime to headache onset with </w:t>
      </w:r>
      <w:r w:rsidR="005E4D2D">
        <w:rPr>
          <w:lang w:bidi="ar-SA"/>
        </w:rPr>
        <w:t>respective tutin T</w:t>
      </w:r>
      <w:r w:rsidR="005E4D2D" w:rsidRPr="00C46C9B">
        <w:rPr>
          <w:vertAlign w:val="subscript"/>
          <w:lang w:bidi="ar-SA"/>
        </w:rPr>
        <w:t>max2</w:t>
      </w:r>
      <w:r w:rsidR="005E4D2D">
        <w:rPr>
          <w:lang w:bidi="ar-SA"/>
        </w:rPr>
        <w:t xml:space="preserve"> levels (i.e. 6</w:t>
      </w:r>
      <w:r w:rsidR="0002563D">
        <w:rPr>
          <w:lang w:bidi="ar-SA"/>
        </w:rPr>
        <w:t xml:space="preserve"> h onset with a T</w:t>
      </w:r>
      <w:r w:rsidR="0002563D" w:rsidRPr="00C46C9B">
        <w:rPr>
          <w:vertAlign w:val="subscript"/>
          <w:lang w:bidi="ar-SA"/>
        </w:rPr>
        <w:t>max2</w:t>
      </w:r>
      <w:r w:rsidR="0002563D">
        <w:rPr>
          <w:lang w:bidi="ar-SA"/>
        </w:rPr>
        <w:t xml:space="preserve"> ~ 8 h; 12 </w:t>
      </w:r>
      <w:r w:rsidR="005E4D2D">
        <w:rPr>
          <w:lang w:bidi="ar-SA"/>
        </w:rPr>
        <w:t>h onset with T</w:t>
      </w:r>
      <w:r w:rsidR="005E4D2D" w:rsidRPr="00C46C9B">
        <w:rPr>
          <w:vertAlign w:val="subscript"/>
          <w:lang w:bidi="ar-SA"/>
        </w:rPr>
        <w:t>max2</w:t>
      </w:r>
      <w:r w:rsidR="005E4D2D">
        <w:rPr>
          <w:lang w:bidi="ar-SA"/>
        </w:rPr>
        <w:t xml:space="preserve">~14 h) for subjects 5 and 6 respectively, suggested that </w:t>
      </w:r>
      <w:r w:rsidR="008F4FF2">
        <w:rPr>
          <w:lang w:bidi="ar-SA"/>
        </w:rPr>
        <w:t xml:space="preserve">the headaches </w:t>
      </w:r>
      <w:r w:rsidR="005E4D2D">
        <w:rPr>
          <w:lang w:bidi="ar-SA"/>
        </w:rPr>
        <w:t>may be related to treatment</w:t>
      </w:r>
      <w:r w:rsidR="008F4FF2">
        <w:rPr>
          <w:lang w:bidi="ar-SA"/>
        </w:rPr>
        <w:t xml:space="preserve"> (Table 4)</w:t>
      </w:r>
      <w:r w:rsidR="005E4D2D">
        <w:rPr>
          <w:lang w:bidi="ar-SA"/>
        </w:rPr>
        <w:t>. A</w:t>
      </w:r>
      <w:r w:rsidR="0002563D">
        <w:rPr>
          <w:lang w:bidi="ar-SA"/>
        </w:rPr>
        <w:t xml:space="preserve"> </w:t>
      </w:r>
      <w:r w:rsidR="005E4D2D">
        <w:rPr>
          <w:lang w:bidi="ar-SA"/>
        </w:rPr>
        <w:t>similar argument for light-headedness could be proposed for subjects 5 and 6 on the basis</w:t>
      </w:r>
      <w:r w:rsidR="0002563D">
        <w:rPr>
          <w:lang w:bidi="ar-SA"/>
        </w:rPr>
        <w:t xml:space="preserve"> </w:t>
      </w:r>
      <w:r w:rsidR="005E4D2D">
        <w:rPr>
          <w:lang w:bidi="ar-SA"/>
        </w:rPr>
        <w:t>that their serum tutin concentrations at T</w:t>
      </w:r>
      <w:r w:rsidR="005E4D2D" w:rsidRPr="00C46C9B">
        <w:rPr>
          <w:vertAlign w:val="subscript"/>
          <w:lang w:bidi="ar-SA"/>
        </w:rPr>
        <w:t>max1</w:t>
      </w:r>
      <w:r w:rsidR="005E4D2D">
        <w:rPr>
          <w:lang w:bidi="ar-SA"/>
        </w:rPr>
        <w:t xml:space="preserve"> were the two highest reported in this study.</w:t>
      </w:r>
      <w:r w:rsidR="0002563D">
        <w:rPr>
          <w:lang w:bidi="ar-SA"/>
        </w:rPr>
        <w:t xml:space="preserve"> </w:t>
      </w:r>
      <w:r w:rsidR="005E4D2D">
        <w:rPr>
          <w:lang w:bidi="ar-SA"/>
        </w:rPr>
        <w:t xml:space="preserve">Given </w:t>
      </w:r>
      <w:r w:rsidR="008F4FF2">
        <w:rPr>
          <w:lang w:bidi="ar-SA"/>
        </w:rPr>
        <w:t>that headache and light-</w:t>
      </w:r>
      <w:r w:rsidR="005E4D2D">
        <w:rPr>
          <w:lang w:bidi="ar-SA"/>
        </w:rPr>
        <w:t>headedness</w:t>
      </w:r>
      <w:r w:rsidR="0002563D">
        <w:rPr>
          <w:lang w:bidi="ar-SA"/>
        </w:rPr>
        <w:t xml:space="preserve"> </w:t>
      </w:r>
      <w:r w:rsidR="005E4D2D">
        <w:rPr>
          <w:lang w:bidi="ar-SA"/>
        </w:rPr>
        <w:t>are symptoms known to be associated with tutin toxicity a causal relationship is plausible.</w:t>
      </w:r>
    </w:p>
    <w:p w:rsidR="00044238" w:rsidRDefault="00044238">
      <w:pPr>
        <w:widowControl/>
        <w:rPr>
          <w:rFonts w:eastAsia="Calibri"/>
          <w:b/>
          <w:szCs w:val="22"/>
          <w:lang w:bidi="ar-SA"/>
        </w:rPr>
      </w:pPr>
    </w:p>
    <w:p w:rsidR="007A3E94" w:rsidRPr="007A3E94" w:rsidRDefault="004A6183" w:rsidP="007A3E94">
      <w:pPr>
        <w:widowControl/>
        <w:spacing w:line="360" w:lineRule="auto"/>
        <w:rPr>
          <w:rFonts w:eastAsia="Calibri"/>
          <w:b/>
          <w:szCs w:val="22"/>
          <w:lang w:bidi="ar-SA"/>
        </w:rPr>
      </w:pPr>
      <w:r>
        <w:rPr>
          <w:rFonts w:eastAsia="Calibri"/>
          <w:b/>
          <w:szCs w:val="22"/>
          <w:lang w:bidi="ar-SA"/>
        </w:rPr>
        <w:t>Table 4: A</w:t>
      </w:r>
      <w:r w:rsidR="00A565CD">
        <w:rPr>
          <w:rFonts w:eastAsia="Calibri"/>
          <w:b/>
          <w:szCs w:val="22"/>
          <w:lang w:bidi="ar-SA"/>
        </w:rPr>
        <w:t>dverse events</w:t>
      </w:r>
      <w:r w:rsidR="00975865">
        <w:rPr>
          <w:rFonts w:eastAsia="Calibri"/>
          <w:b/>
          <w:szCs w:val="22"/>
          <w:lang w:bidi="ar-SA"/>
        </w:rPr>
        <w:t>, C</w:t>
      </w:r>
      <w:r w:rsidR="00975865" w:rsidRPr="00C46C9B">
        <w:rPr>
          <w:rFonts w:eastAsia="Calibri"/>
          <w:b/>
          <w:szCs w:val="22"/>
          <w:vertAlign w:val="subscript"/>
          <w:lang w:bidi="ar-SA"/>
        </w:rPr>
        <w:t>max</w:t>
      </w:r>
      <w:r w:rsidR="00975865">
        <w:rPr>
          <w:rFonts w:eastAsia="Calibri"/>
          <w:b/>
          <w:szCs w:val="22"/>
          <w:lang w:bidi="ar-SA"/>
        </w:rPr>
        <w:t xml:space="preserve"> and</w:t>
      </w:r>
      <w:r w:rsidR="00A565CD">
        <w:rPr>
          <w:rFonts w:eastAsia="Calibri"/>
          <w:b/>
          <w:szCs w:val="22"/>
          <w:lang w:bidi="ar-SA"/>
        </w:rPr>
        <w:t xml:space="preserve"> T</w:t>
      </w:r>
      <w:r w:rsidR="00A565CD" w:rsidRPr="00C46C9B">
        <w:rPr>
          <w:rFonts w:eastAsia="Calibri"/>
          <w:b/>
          <w:szCs w:val="22"/>
          <w:vertAlign w:val="subscript"/>
          <w:lang w:bidi="ar-SA"/>
        </w:rPr>
        <w:t>max</w:t>
      </w:r>
      <w:r w:rsidR="00A565CD">
        <w:rPr>
          <w:rFonts w:eastAsia="Calibri"/>
          <w:b/>
          <w:szCs w:val="22"/>
          <w:lang w:bidi="ar-SA"/>
        </w:rPr>
        <w:t xml:space="preserve"> values for tutin in serum</w:t>
      </w:r>
    </w:p>
    <w:tbl>
      <w:tblPr>
        <w:tblStyle w:val="TableGrid4"/>
        <w:tblW w:w="0" w:type="auto"/>
        <w:tblLook w:val="04A0" w:firstRow="1" w:lastRow="0" w:firstColumn="1" w:lastColumn="0" w:noHBand="0" w:noVBand="1"/>
      </w:tblPr>
      <w:tblGrid>
        <w:gridCol w:w="3536"/>
        <w:gridCol w:w="1418"/>
        <w:gridCol w:w="1275"/>
      </w:tblGrid>
      <w:tr w:rsidR="007A3E94" w:rsidRPr="007A3E94" w:rsidTr="001F4948">
        <w:tc>
          <w:tcPr>
            <w:tcW w:w="3536" w:type="dxa"/>
          </w:tcPr>
          <w:p w:rsidR="007A3E94" w:rsidRPr="007A3E94" w:rsidRDefault="007A3E94" w:rsidP="007A3E94">
            <w:pPr>
              <w:widowControl/>
              <w:spacing w:before="40" w:after="40"/>
              <w:rPr>
                <w:rFonts w:cs="Arial"/>
                <w:b/>
                <w:szCs w:val="22"/>
                <w:lang w:bidi="ar-SA"/>
              </w:rPr>
            </w:pPr>
            <w:r w:rsidRPr="007A3E94">
              <w:rPr>
                <w:rFonts w:cs="Arial"/>
                <w:b/>
                <w:szCs w:val="22"/>
                <w:lang w:bidi="ar-SA"/>
              </w:rPr>
              <w:t>Adverse Event</w:t>
            </w:r>
          </w:p>
        </w:tc>
        <w:tc>
          <w:tcPr>
            <w:tcW w:w="1418" w:type="dxa"/>
          </w:tcPr>
          <w:p w:rsidR="007A3E94" w:rsidRPr="007A3E94" w:rsidRDefault="007A3E94" w:rsidP="007A3E94">
            <w:pPr>
              <w:widowControl/>
              <w:spacing w:before="40" w:after="40"/>
              <w:jc w:val="center"/>
              <w:rPr>
                <w:rFonts w:cs="Arial"/>
                <w:b/>
                <w:szCs w:val="22"/>
                <w:lang w:bidi="ar-SA"/>
              </w:rPr>
            </w:pPr>
            <w:r w:rsidRPr="007A3E94">
              <w:rPr>
                <w:rFonts w:cs="Arial"/>
                <w:b/>
                <w:szCs w:val="22"/>
                <w:lang w:bidi="ar-SA"/>
              </w:rPr>
              <w:t>Subject 5</w:t>
            </w:r>
          </w:p>
        </w:tc>
        <w:tc>
          <w:tcPr>
            <w:tcW w:w="1275" w:type="dxa"/>
          </w:tcPr>
          <w:p w:rsidR="007A3E94" w:rsidRPr="007A3E94" w:rsidRDefault="007A3E94" w:rsidP="007A3E94">
            <w:pPr>
              <w:widowControl/>
              <w:spacing w:before="40" w:after="40"/>
              <w:jc w:val="center"/>
              <w:rPr>
                <w:rFonts w:cs="Arial"/>
                <w:b/>
                <w:szCs w:val="22"/>
                <w:lang w:bidi="ar-SA"/>
              </w:rPr>
            </w:pPr>
            <w:r w:rsidRPr="007A3E94">
              <w:rPr>
                <w:rFonts w:cs="Arial"/>
                <w:b/>
                <w:szCs w:val="22"/>
                <w:lang w:bidi="ar-SA"/>
              </w:rPr>
              <w:t>Subject 6</w:t>
            </w:r>
          </w:p>
        </w:tc>
      </w:tr>
      <w:tr w:rsidR="007A3E94" w:rsidRPr="007A3E94" w:rsidTr="001F4948">
        <w:tc>
          <w:tcPr>
            <w:tcW w:w="3536" w:type="dxa"/>
          </w:tcPr>
          <w:p w:rsidR="007A3E94" w:rsidRPr="007A3E94" w:rsidRDefault="007A3E94" w:rsidP="007A3E94">
            <w:pPr>
              <w:widowControl/>
              <w:spacing w:before="40" w:after="40"/>
              <w:rPr>
                <w:rFonts w:cs="Arial"/>
                <w:szCs w:val="22"/>
                <w:lang w:bidi="ar-SA"/>
              </w:rPr>
            </w:pPr>
            <w:r w:rsidRPr="007A3E94">
              <w:rPr>
                <w:rFonts w:cs="Arial"/>
                <w:szCs w:val="22"/>
                <w:lang w:bidi="ar-SA"/>
              </w:rPr>
              <w:t>Light-headedness</w:t>
            </w:r>
          </w:p>
        </w:tc>
        <w:tc>
          <w:tcPr>
            <w:tcW w:w="1418" w:type="dxa"/>
          </w:tcPr>
          <w:p w:rsidR="007A3E94" w:rsidRPr="007A3E94" w:rsidRDefault="007A3E94" w:rsidP="007A3E94">
            <w:pPr>
              <w:widowControl/>
              <w:spacing w:before="40" w:after="40"/>
              <w:jc w:val="center"/>
              <w:rPr>
                <w:rFonts w:cs="Arial"/>
                <w:szCs w:val="22"/>
                <w:lang w:bidi="ar-SA"/>
              </w:rPr>
            </w:pPr>
          </w:p>
        </w:tc>
        <w:tc>
          <w:tcPr>
            <w:tcW w:w="1275" w:type="dxa"/>
          </w:tcPr>
          <w:p w:rsidR="007A3E94" w:rsidRPr="007A3E94" w:rsidRDefault="007A3E94" w:rsidP="007A3E94">
            <w:pPr>
              <w:widowControl/>
              <w:spacing w:before="40" w:after="40"/>
              <w:jc w:val="center"/>
              <w:rPr>
                <w:rFonts w:cs="Arial"/>
                <w:szCs w:val="22"/>
                <w:lang w:bidi="ar-SA"/>
              </w:rPr>
            </w:pPr>
          </w:p>
        </w:tc>
      </w:tr>
      <w:tr w:rsidR="007A3E94" w:rsidRPr="007A3E94" w:rsidTr="001F4948">
        <w:tc>
          <w:tcPr>
            <w:tcW w:w="3536" w:type="dxa"/>
          </w:tcPr>
          <w:p w:rsidR="007A3E94" w:rsidRPr="007A3E94" w:rsidRDefault="007A3E94" w:rsidP="007A3E94">
            <w:pPr>
              <w:widowControl/>
              <w:spacing w:before="40" w:after="40"/>
              <w:jc w:val="right"/>
              <w:rPr>
                <w:rFonts w:cs="Arial"/>
                <w:szCs w:val="22"/>
                <w:lang w:bidi="ar-SA"/>
              </w:rPr>
            </w:pPr>
            <w:r w:rsidRPr="007A3E94">
              <w:rPr>
                <w:rFonts w:cs="Arial"/>
                <w:szCs w:val="22"/>
                <w:lang w:bidi="ar-SA"/>
              </w:rPr>
              <w:t>Time of onset (h:min post-dose)</w:t>
            </w:r>
          </w:p>
        </w:tc>
        <w:tc>
          <w:tcPr>
            <w:tcW w:w="1418"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1:43</w:t>
            </w:r>
          </w:p>
        </w:tc>
        <w:tc>
          <w:tcPr>
            <w:tcW w:w="1275"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1:19</w:t>
            </w:r>
          </w:p>
        </w:tc>
      </w:tr>
      <w:tr w:rsidR="007A3E94" w:rsidRPr="007A3E94" w:rsidTr="001F4948">
        <w:tc>
          <w:tcPr>
            <w:tcW w:w="3536" w:type="dxa"/>
          </w:tcPr>
          <w:p w:rsidR="007A3E94" w:rsidRPr="007A3E94" w:rsidRDefault="007A3E94" w:rsidP="007A3E94">
            <w:pPr>
              <w:widowControl/>
              <w:spacing w:before="40" w:after="40"/>
              <w:jc w:val="right"/>
              <w:rPr>
                <w:rFonts w:cs="Arial"/>
                <w:szCs w:val="22"/>
                <w:lang w:bidi="ar-SA"/>
              </w:rPr>
            </w:pPr>
            <w:r w:rsidRPr="007A3E94">
              <w:rPr>
                <w:rFonts w:cs="Arial"/>
                <w:szCs w:val="22"/>
                <w:lang w:bidi="ar-SA"/>
              </w:rPr>
              <w:t>Duration (h:min)</w:t>
            </w:r>
          </w:p>
        </w:tc>
        <w:tc>
          <w:tcPr>
            <w:tcW w:w="1418"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0:20</w:t>
            </w:r>
          </w:p>
        </w:tc>
        <w:tc>
          <w:tcPr>
            <w:tcW w:w="1275"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1:35</w:t>
            </w:r>
          </w:p>
        </w:tc>
      </w:tr>
      <w:tr w:rsidR="007A3E94" w:rsidRPr="007A3E94" w:rsidTr="001F4948">
        <w:tc>
          <w:tcPr>
            <w:tcW w:w="3536" w:type="dxa"/>
          </w:tcPr>
          <w:p w:rsidR="007A3E94" w:rsidRPr="007A3E94" w:rsidRDefault="007A3E94" w:rsidP="007A3E94">
            <w:pPr>
              <w:widowControl/>
              <w:spacing w:before="40" w:after="40"/>
              <w:jc w:val="right"/>
              <w:rPr>
                <w:rFonts w:cs="Arial"/>
                <w:szCs w:val="22"/>
                <w:lang w:bidi="ar-SA"/>
              </w:rPr>
            </w:pPr>
            <w:r w:rsidRPr="007A3E94">
              <w:rPr>
                <w:rFonts w:cs="Arial"/>
                <w:szCs w:val="22"/>
                <w:lang w:bidi="ar-SA"/>
              </w:rPr>
              <w:t>Maximum intensity</w:t>
            </w:r>
          </w:p>
        </w:tc>
        <w:tc>
          <w:tcPr>
            <w:tcW w:w="1418"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Mild</w:t>
            </w:r>
          </w:p>
        </w:tc>
        <w:tc>
          <w:tcPr>
            <w:tcW w:w="1275"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Mild</w:t>
            </w:r>
          </w:p>
        </w:tc>
      </w:tr>
      <w:tr w:rsidR="00975865" w:rsidRPr="007A3E94" w:rsidTr="001F4948">
        <w:tc>
          <w:tcPr>
            <w:tcW w:w="3536" w:type="dxa"/>
          </w:tcPr>
          <w:p w:rsidR="00975865" w:rsidRPr="00171EF9" w:rsidRDefault="00975865" w:rsidP="007A3E94">
            <w:pPr>
              <w:widowControl/>
              <w:spacing w:before="40" w:after="40"/>
              <w:jc w:val="right"/>
              <w:rPr>
                <w:rFonts w:cs="Arial"/>
                <w:szCs w:val="22"/>
                <w:lang w:bidi="ar-SA"/>
              </w:rPr>
            </w:pPr>
            <w:r>
              <w:rPr>
                <w:rFonts w:cs="Arial"/>
                <w:szCs w:val="22"/>
                <w:lang w:bidi="ar-SA"/>
              </w:rPr>
              <w:t>C</w:t>
            </w:r>
            <w:r w:rsidRPr="00C46C9B">
              <w:rPr>
                <w:rFonts w:cs="Arial"/>
                <w:szCs w:val="22"/>
                <w:vertAlign w:val="subscript"/>
                <w:lang w:bidi="ar-SA"/>
              </w:rPr>
              <w:t>max1</w:t>
            </w:r>
            <w:r w:rsidR="00A97062">
              <w:rPr>
                <w:rFonts w:cs="Arial"/>
                <w:szCs w:val="22"/>
                <w:lang w:bidi="ar-SA"/>
              </w:rPr>
              <w:t xml:space="preserve"> (ng/mL)</w:t>
            </w:r>
          </w:p>
        </w:tc>
        <w:tc>
          <w:tcPr>
            <w:tcW w:w="1418" w:type="dxa"/>
          </w:tcPr>
          <w:p w:rsidR="00975865" w:rsidRPr="007A3E94" w:rsidRDefault="00975865" w:rsidP="007A3E94">
            <w:pPr>
              <w:widowControl/>
              <w:spacing w:before="40" w:after="40"/>
              <w:jc w:val="center"/>
              <w:rPr>
                <w:rFonts w:cs="Arial"/>
                <w:szCs w:val="22"/>
                <w:lang w:bidi="ar-SA"/>
              </w:rPr>
            </w:pPr>
            <w:r>
              <w:rPr>
                <w:rFonts w:cs="Arial"/>
                <w:szCs w:val="22"/>
                <w:lang w:bidi="ar-SA"/>
              </w:rPr>
              <w:t>3.2</w:t>
            </w:r>
          </w:p>
        </w:tc>
        <w:tc>
          <w:tcPr>
            <w:tcW w:w="1275" w:type="dxa"/>
          </w:tcPr>
          <w:p w:rsidR="00975865" w:rsidRPr="007A3E94" w:rsidRDefault="00975865" w:rsidP="007A3E94">
            <w:pPr>
              <w:widowControl/>
              <w:spacing w:before="40" w:after="40"/>
              <w:jc w:val="center"/>
              <w:rPr>
                <w:rFonts w:cs="Arial"/>
                <w:szCs w:val="22"/>
                <w:lang w:bidi="ar-SA"/>
              </w:rPr>
            </w:pPr>
            <w:r>
              <w:rPr>
                <w:rFonts w:cs="Arial"/>
                <w:szCs w:val="22"/>
                <w:lang w:bidi="ar-SA"/>
              </w:rPr>
              <w:t>2.5</w:t>
            </w:r>
          </w:p>
        </w:tc>
      </w:tr>
      <w:tr w:rsidR="00A565CD" w:rsidRPr="007A3E94" w:rsidTr="001F4948">
        <w:tc>
          <w:tcPr>
            <w:tcW w:w="3536" w:type="dxa"/>
          </w:tcPr>
          <w:p w:rsidR="00A565CD" w:rsidRPr="00171EF9" w:rsidRDefault="00A565CD" w:rsidP="007A3E94">
            <w:pPr>
              <w:widowControl/>
              <w:spacing w:before="40" w:after="40"/>
              <w:jc w:val="right"/>
              <w:rPr>
                <w:rFonts w:cs="Arial"/>
                <w:szCs w:val="22"/>
                <w:lang w:bidi="ar-SA"/>
              </w:rPr>
            </w:pPr>
            <w:r w:rsidRPr="00CB2985">
              <w:rPr>
                <w:rFonts w:cs="Arial"/>
                <w:szCs w:val="22"/>
                <w:lang w:bidi="ar-SA"/>
              </w:rPr>
              <w:t>T</w:t>
            </w:r>
            <w:r w:rsidRPr="00C46C9B">
              <w:rPr>
                <w:rFonts w:cs="Arial"/>
                <w:szCs w:val="22"/>
                <w:vertAlign w:val="subscript"/>
                <w:lang w:bidi="ar-SA"/>
              </w:rPr>
              <w:t>max1</w:t>
            </w:r>
            <w:r w:rsidR="00A97062">
              <w:rPr>
                <w:rFonts w:cs="Arial"/>
                <w:szCs w:val="22"/>
                <w:lang w:bidi="ar-SA"/>
              </w:rPr>
              <w:t xml:space="preserve"> (h)</w:t>
            </w:r>
          </w:p>
        </w:tc>
        <w:tc>
          <w:tcPr>
            <w:tcW w:w="1418" w:type="dxa"/>
          </w:tcPr>
          <w:p w:rsidR="00A565CD" w:rsidRPr="007A3E94" w:rsidRDefault="005C258B" w:rsidP="007A3E94">
            <w:pPr>
              <w:widowControl/>
              <w:spacing w:before="40" w:after="40"/>
              <w:jc w:val="center"/>
              <w:rPr>
                <w:rFonts w:cs="Arial"/>
                <w:szCs w:val="22"/>
                <w:lang w:bidi="ar-SA"/>
              </w:rPr>
            </w:pPr>
            <w:r>
              <w:rPr>
                <w:rFonts w:cs="Arial"/>
                <w:szCs w:val="22"/>
                <w:lang w:bidi="ar-SA"/>
              </w:rPr>
              <w:t>0:30</w:t>
            </w:r>
          </w:p>
        </w:tc>
        <w:tc>
          <w:tcPr>
            <w:tcW w:w="1275" w:type="dxa"/>
          </w:tcPr>
          <w:p w:rsidR="00A565CD" w:rsidRPr="007A3E94" w:rsidRDefault="005C258B" w:rsidP="007A3E94">
            <w:pPr>
              <w:widowControl/>
              <w:spacing w:before="40" w:after="40"/>
              <w:jc w:val="center"/>
              <w:rPr>
                <w:rFonts w:cs="Arial"/>
                <w:szCs w:val="22"/>
                <w:lang w:bidi="ar-SA"/>
              </w:rPr>
            </w:pPr>
            <w:r>
              <w:rPr>
                <w:rFonts w:cs="Arial"/>
                <w:szCs w:val="22"/>
                <w:lang w:bidi="ar-SA"/>
              </w:rPr>
              <w:t>0:30</w:t>
            </w:r>
          </w:p>
        </w:tc>
      </w:tr>
      <w:tr w:rsidR="007A3E94" w:rsidRPr="007A3E94" w:rsidTr="001F4948">
        <w:tc>
          <w:tcPr>
            <w:tcW w:w="3536" w:type="dxa"/>
          </w:tcPr>
          <w:p w:rsidR="007A3E94" w:rsidRPr="007A3E94" w:rsidRDefault="007A3E94" w:rsidP="007A3E94">
            <w:pPr>
              <w:widowControl/>
              <w:spacing w:before="40" w:after="40"/>
              <w:rPr>
                <w:rFonts w:cs="Arial"/>
                <w:szCs w:val="22"/>
                <w:lang w:bidi="ar-SA"/>
              </w:rPr>
            </w:pPr>
            <w:r w:rsidRPr="007A3E94">
              <w:rPr>
                <w:rFonts w:cs="Arial"/>
                <w:szCs w:val="22"/>
                <w:lang w:bidi="ar-SA"/>
              </w:rPr>
              <w:t>Headache</w:t>
            </w:r>
          </w:p>
        </w:tc>
        <w:tc>
          <w:tcPr>
            <w:tcW w:w="1418" w:type="dxa"/>
          </w:tcPr>
          <w:p w:rsidR="007A3E94" w:rsidRPr="007A3E94" w:rsidRDefault="007A3E94" w:rsidP="007A3E94">
            <w:pPr>
              <w:widowControl/>
              <w:spacing w:before="40" w:after="40"/>
              <w:jc w:val="center"/>
              <w:rPr>
                <w:rFonts w:cs="Arial"/>
                <w:szCs w:val="22"/>
                <w:lang w:bidi="ar-SA"/>
              </w:rPr>
            </w:pPr>
          </w:p>
        </w:tc>
        <w:tc>
          <w:tcPr>
            <w:tcW w:w="1275" w:type="dxa"/>
          </w:tcPr>
          <w:p w:rsidR="007A3E94" w:rsidRPr="007A3E94" w:rsidRDefault="007A3E94" w:rsidP="007A3E94">
            <w:pPr>
              <w:widowControl/>
              <w:spacing w:before="40" w:after="40"/>
              <w:jc w:val="center"/>
              <w:rPr>
                <w:rFonts w:cs="Arial"/>
                <w:szCs w:val="22"/>
                <w:lang w:bidi="ar-SA"/>
              </w:rPr>
            </w:pPr>
          </w:p>
        </w:tc>
      </w:tr>
      <w:tr w:rsidR="007A3E94" w:rsidRPr="007A3E94" w:rsidTr="001F4948">
        <w:tc>
          <w:tcPr>
            <w:tcW w:w="3536" w:type="dxa"/>
          </w:tcPr>
          <w:p w:rsidR="007A3E94" w:rsidRPr="007A3E94" w:rsidRDefault="007A3E94" w:rsidP="007A3E94">
            <w:pPr>
              <w:widowControl/>
              <w:spacing w:before="40" w:after="40"/>
              <w:jc w:val="right"/>
              <w:rPr>
                <w:rFonts w:cs="Arial"/>
                <w:szCs w:val="22"/>
                <w:lang w:bidi="ar-SA"/>
              </w:rPr>
            </w:pPr>
            <w:r w:rsidRPr="007A3E94">
              <w:rPr>
                <w:rFonts w:cs="Arial"/>
                <w:szCs w:val="22"/>
                <w:lang w:bidi="ar-SA"/>
              </w:rPr>
              <w:t>Time of onset (h:min post-dose)</w:t>
            </w:r>
          </w:p>
        </w:tc>
        <w:tc>
          <w:tcPr>
            <w:tcW w:w="1418"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6:00</w:t>
            </w:r>
          </w:p>
        </w:tc>
        <w:tc>
          <w:tcPr>
            <w:tcW w:w="1275"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12:00</w:t>
            </w:r>
          </w:p>
        </w:tc>
      </w:tr>
      <w:tr w:rsidR="007A3E94" w:rsidRPr="007A3E94" w:rsidTr="001F4948">
        <w:tc>
          <w:tcPr>
            <w:tcW w:w="3536" w:type="dxa"/>
          </w:tcPr>
          <w:p w:rsidR="007A3E94" w:rsidRPr="007A3E94" w:rsidRDefault="007A3E94" w:rsidP="007A3E94">
            <w:pPr>
              <w:widowControl/>
              <w:spacing w:before="40" w:after="40"/>
              <w:jc w:val="right"/>
              <w:rPr>
                <w:rFonts w:cs="Arial"/>
                <w:szCs w:val="22"/>
                <w:lang w:bidi="ar-SA"/>
              </w:rPr>
            </w:pPr>
            <w:r w:rsidRPr="007A3E94">
              <w:rPr>
                <w:rFonts w:cs="Arial"/>
                <w:szCs w:val="22"/>
                <w:lang w:bidi="ar-SA"/>
              </w:rPr>
              <w:t>Duration (h:min)</w:t>
            </w:r>
          </w:p>
        </w:tc>
        <w:tc>
          <w:tcPr>
            <w:tcW w:w="1418"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2:00</w:t>
            </w:r>
          </w:p>
        </w:tc>
        <w:tc>
          <w:tcPr>
            <w:tcW w:w="1275"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0:45</w:t>
            </w:r>
          </w:p>
        </w:tc>
      </w:tr>
      <w:tr w:rsidR="007A3E94" w:rsidRPr="007A3E94" w:rsidTr="001F4948">
        <w:tc>
          <w:tcPr>
            <w:tcW w:w="3536" w:type="dxa"/>
          </w:tcPr>
          <w:p w:rsidR="007A3E94" w:rsidRPr="007A3E94" w:rsidRDefault="007A3E94" w:rsidP="007A3E94">
            <w:pPr>
              <w:widowControl/>
              <w:spacing w:before="40" w:after="40"/>
              <w:jc w:val="right"/>
              <w:rPr>
                <w:rFonts w:cs="Arial"/>
                <w:szCs w:val="22"/>
                <w:lang w:bidi="ar-SA"/>
              </w:rPr>
            </w:pPr>
            <w:r w:rsidRPr="007A3E94">
              <w:rPr>
                <w:rFonts w:cs="Arial"/>
                <w:szCs w:val="22"/>
                <w:lang w:bidi="ar-SA"/>
              </w:rPr>
              <w:t>Maximum intensity</w:t>
            </w:r>
          </w:p>
        </w:tc>
        <w:tc>
          <w:tcPr>
            <w:tcW w:w="1418"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Mild</w:t>
            </w:r>
          </w:p>
        </w:tc>
        <w:tc>
          <w:tcPr>
            <w:tcW w:w="1275" w:type="dxa"/>
          </w:tcPr>
          <w:p w:rsidR="007A3E94" w:rsidRPr="007A3E94" w:rsidRDefault="007A3E94" w:rsidP="007A3E94">
            <w:pPr>
              <w:widowControl/>
              <w:spacing w:before="40" w:after="40"/>
              <w:jc w:val="center"/>
              <w:rPr>
                <w:rFonts w:cs="Arial"/>
                <w:szCs w:val="22"/>
                <w:lang w:bidi="ar-SA"/>
              </w:rPr>
            </w:pPr>
            <w:r w:rsidRPr="007A3E94">
              <w:rPr>
                <w:rFonts w:cs="Arial"/>
                <w:szCs w:val="22"/>
                <w:lang w:bidi="ar-SA"/>
              </w:rPr>
              <w:t>Mild</w:t>
            </w:r>
          </w:p>
        </w:tc>
      </w:tr>
      <w:tr w:rsidR="00975865" w:rsidRPr="007A3E94" w:rsidTr="001F4948">
        <w:tc>
          <w:tcPr>
            <w:tcW w:w="3536" w:type="dxa"/>
          </w:tcPr>
          <w:p w:rsidR="00975865" w:rsidRPr="00171EF9" w:rsidRDefault="00975865" w:rsidP="007A3E94">
            <w:pPr>
              <w:widowControl/>
              <w:spacing w:before="40" w:after="40"/>
              <w:jc w:val="right"/>
              <w:rPr>
                <w:rFonts w:cs="Arial"/>
                <w:szCs w:val="22"/>
                <w:lang w:bidi="ar-SA"/>
              </w:rPr>
            </w:pPr>
            <w:r>
              <w:rPr>
                <w:rFonts w:cs="Arial"/>
                <w:szCs w:val="22"/>
                <w:lang w:bidi="ar-SA"/>
              </w:rPr>
              <w:t>C</w:t>
            </w:r>
            <w:r w:rsidRPr="00C46C9B">
              <w:rPr>
                <w:rFonts w:cs="Arial"/>
                <w:szCs w:val="22"/>
                <w:vertAlign w:val="subscript"/>
                <w:lang w:bidi="ar-SA"/>
              </w:rPr>
              <w:t>max2</w:t>
            </w:r>
            <w:r w:rsidR="00A97062">
              <w:rPr>
                <w:rFonts w:cs="Arial"/>
                <w:szCs w:val="22"/>
                <w:lang w:bidi="ar-SA"/>
              </w:rPr>
              <w:t xml:space="preserve"> (ng/mL)</w:t>
            </w:r>
          </w:p>
        </w:tc>
        <w:tc>
          <w:tcPr>
            <w:tcW w:w="1418" w:type="dxa"/>
          </w:tcPr>
          <w:p w:rsidR="00975865" w:rsidRPr="007A3E94" w:rsidRDefault="00975865" w:rsidP="007A3E94">
            <w:pPr>
              <w:widowControl/>
              <w:spacing w:before="40" w:after="40"/>
              <w:jc w:val="center"/>
              <w:rPr>
                <w:rFonts w:cs="Arial"/>
                <w:szCs w:val="22"/>
                <w:lang w:bidi="ar-SA"/>
              </w:rPr>
            </w:pPr>
            <w:r>
              <w:rPr>
                <w:rFonts w:cs="Arial"/>
                <w:szCs w:val="22"/>
                <w:lang w:bidi="ar-SA"/>
              </w:rPr>
              <w:t>5.3</w:t>
            </w:r>
          </w:p>
        </w:tc>
        <w:tc>
          <w:tcPr>
            <w:tcW w:w="1275" w:type="dxa"/>
          </w:tcPr>
          <w:p w:rsidR="00975865" w:rsidRPr="007A3E94" w:rsidRDefault="00975865" w:rsidP="007A3E94">
            <w:pPr>
              <w:widowControl/>
              <w:spacing w:before="40" w:after="40"/>
              <w:jc w:val="center"/>
              <w:rPr>
                <w:rFonts w:cs="Arial"/>
                <w:szCs w:val="22"/>
                <w:lang w:bidi="ar-SA"/>
              </w:rPr>
            </w:pPr>
            <w:r>
              <w:rPr>
                <w:rFonts w:cs="Arial"/>
                <w:szCs w:val="22"/>
                <w:lang w:bidi="ar-SA"/>
              </w:rPr>
              <w:t>3.3</w:t>
            </w:r>
          </w:p>
        </w:tc>
      </w:tr>
      <w:tr w:rsidR="00A565CD" w:rsidRPr="007A3E94" w:rsidTr="001F4948">
        <w:tc>
          <w:tcPr>
            <w:tcW w:w="3536" w:type="dxa"/>
          </w:tcPr>
          <w:p w:rsidR="00A565CD" w:rsidRPr="00171EF9" w:rsidRDefault="00A565CD" w:rsidP="007A3E94">
            <w:pPr>
              <w:widowControl/>
              <w:spacing w:before="40" w:after="40"/>
              <w:jc w:val="right"/>
              <w:rPr>
                <w:rFonts w:cs="Arial"/>
                <w:szCs w:val="22"/>
                <w:lang w:bidi="ar-SA"/>
              </w:rPr>
            </w:pPr>
            <w:r w:rsidRPr="00CB2985">
              <w:rPr>
                <w:rFonts w:cs="Arial"/>
                <w:szCs w:val="22"/>
                <w:lang w:bidi="ar-SA"/>
              </w:rPr>
              <w:t>T</w:t>
            </w:r>
            <w:r w:rsidRPr="00C46C9B">
              <w:rPr>
                <w:rFonts w:cs="Arial"/>
                <w:szCs w:val="22"/>
                <w:vertAlign w:val="subscript"/>
                <w:lang w:bidi="ar-SA"/>
              </w:rPr>
              <w:t>max2</w:t>
            </w:r>
            <w:r w:rsidR="00A97062">
              <w:rPr>
                <w:rFonts w:cs="Arial"/>
                <w:szCs w:val="22"/>
                <w:lang w:bidi="ar-SA"/>
              </w:rPr>
              <w:t xml:space="preserve"> (h)</w:t>
            </w:r>
          </w:p>
        </w:tc>
        <w:tc>
          <w:tcPr>
            <w:tcW w:w="1418" w:type="dxa"/>
          </w:tcPr>
          <w:p w:rsidR="00A565CD" w:rsidRPr="007A3E94" w:rsidRDefault="005C258B" w:rsidP="007A3E94">
            <w:pPr>
              <w:widowControl/>
              <w:spacing w:before="40" w:after="40"/>
              <w:jc w:val="center"/>
              <w:rPr>
                <w:rFonts w:cs="Arial"/>
                <w:szCs w:val="22"/>
                <w:lang w:bidi="ar-SA"/>
              </w:rPr>
            </w:pPr>
            <w:r>
              <w:rPr>
                <w:rFonts w:cs="Arial"/>
                <w:szCs w:val="22"/>
                <w:lang w:bidi="ar-SA"/>
              </w:rPr>
              <w:t>8:00</w:t>
            </w:r>
          </w:p>
        </w:tc>
        <w:tc>
          <w:tcPr>
            <w:tcW w:w="1275" w:type="dxa"/>
          </w:tcPr>
          <w:p w:rsidR="00A565CD" w:rsidRPr="007A3E94" w:rsidRDefault="005C258B" w:rsidP="007A3E94">
            <w:pPr>
              <w:widowControl/>
              <w:spacing w:before="40" w:after="40"/>
              <w:jc w:val="center"/>
              <w:rPr>
                <w:rFonts w:cs="Arial"/>
                <w:szCs w:val="22"/>
                <w:lang w:bidi="ar-SA"/>
              </w:rPr>
            </w:pPr>
            <w:r>
              <w:rPr>
                <w:rFonts w:cs="Arial"/>
                <w:szCs w:val="22"/>
                <w:lang w:bidi="ar-SA"/>
              </w:rPr>
              <w:t>14:00</w:t>
            </w:r>
          </w:p>
        </w:tc>
      </w:tr>
    </w:tbl>
    <w:p w:rsidR="003A5531" w:rsidRPr="00A128B3" w:rsidRDefault="003A5531" w:rsidP="00BC4D1D">
      <w:pPr>
        <w:pStyle w:val="Heading3"/>
      </w:pPr>
      <w:bookmarkStart w:id="34" w:name="_Toc401143926"/>
      <w:r>
        <w:lastRenderedPageBreak/>
        <w:t>2.2.10</w:t>
      </w:r>
      <w:r w:rsidR="00F51931">
        <w:tab/>
      </w:r>
      <w:r w:rsidR="000E6762">
        <w:t>Hyenanchin</w:t>
      </w:r>
      <w:bookmarkEnd w:id="34"/>
      <w:r>
        <w:t xml:space="preserve"> </w:t>
      </w:r>
    </w:p>
    <w:p w:rsidR="003A5531" w:rsidRPr="00A128B3" w:rsidRDefault="003A5531" w:rsidP="003A5531">
      <w:pPr>
        <w:rPr>
          <w:bCs/>
        </w:rPr>
      </w:pPr>
      <w:r w:rsidRPr="00A128B3">
        <w:rPr>
          <w:bCs/>
        </w:rPr>
        <w:t>Hyenanchin differs from tutin only by the presence of an additional hydroxyl group</w:t>
      </w:r>
      <w:r w:rsidR="005C1CB0">
        <w:rPr>
          <w:bCs/>
        </w:rPr>
        <w:t xml:space="preserve"> (Appendix</w:t>
      </w:r>
      <w:r w:rsidR="00F14118">
        <w:rPr>
          <w:bCs/>
        </w:rPr>
        <w:t> </w:t>
      </w:r>
      <w:r w:rsidR="005C1CB0">
        <w:rPr>
          <w:bCs/>
        </w:rPr>
        <w:t>1)</w:t>
      </w:r>
      <w:r w:rsidRPr="00A128B3">
        <w:rPr>
          <w:bCs/>
        </w:rPr>
        <w:t>.</w:t>
      </w:r>
      <w:r w:rsidR="005C1CB0">
        <w:rPr>
          <w:bCs/>
        </w:rPr>
        <w:t xml:space="preserve"> </w:t>
      </w:r>
      <w:r w:rsidRPr="00A128B3">
        <w:rPr>
          <w:bCs/>
        </w:rPr>
        <w:t>Hyenanchin, or 4-hydroxytutin</w:t>
      </w:r>
      <w:r w:rsidRPr="00A128B3">
        <w:rPr>
          <w:bCs/>
          <w:vertAlign w:val="superscript"/>
        </w:rPr>
        <w:footnoteReference w:id="2"/>
      </w:r>
      <w:r w:rsidRPr="00A128B3">
        <w:rPr>
          <w:bCs/>
        </w:rPr>
        <w:t xml:space="preserve">, was also detected in honey samples associated with poisoning in the 2008 New Zealand incident (NZFSA 2008). The levels of hyenanchin in </w:t>
      </w:r>
      <w:r w:rsidR="00A06B8F">
        <w:rPr>
          <w:bCs/>
        </w:rPr>
        <w:t xml:space="preserve">these honey samples </w:t>
      </w:r>
      <w:r w:rsidRPr="00A128B3">
        <w:rPr>
          <w:bCs/>
        </w:rPr>
        <w:t xml:space="preserve">ranged from 180 to 300 mg/kg which are 6-fold higher, on average, than the </w:t>
      </w:r>
      <w:r w:rsidR="0051623C">
        <w:rPr>
          <w:bCs/>
        </w:rPr>
        <w:t xml:space="preserve">tutin </w:t>
      </w:r>
      <w:r w:rsidRPr="00A128B3">
        <w:rPr>
          <w:bCs/>
        </w:rPr>
        <w:t xml:space="preserve">levels (30 – 50 mg/kg honey). </w:t>
      </w:r>
      <w:r w:rsidR="003E367F">
        <w:rPr>
          <w:bCs/>
        </w:rPr>
        <w:t>Subsequent a</w:t>
      </w:r>
      <w:r w:rsidR="00A06B8F">
        <w:rPr>
          <w:bCs/>
        </w:rPr>
        <w:t>nalysis of 15 honey samples covering a large range of tutin levels (0.13 to 52 mg/kg honey) resulted in hyenanchin:tutin ratios ranging from 3 to 13</w:t>
      </w:r>
      <w:r w:rsidR="00863B3F">
        <w:rPr>
          <w:bCs/>
        </w:rPr>
        <w:t xml:space="preserve"> (Appendix </w:t>
      </w:r>
      <w:r w:rsidR="00FF0A9B">
        <w:rPr>
          <w:bCs/>
        </w:rPr>
        <w:t>4</w:t>
      </w:r>
      <w:r w:rsidR="00A06B8F">
        <w:rPr>
          <w:bCs/>
        </w:rPr>
        <w:t xml:space="preserve">). </w:t>
      </w:r>
      <w:r w:rsidRPr="00A128B3">
        <w:rPr>
          <w:bCs/>
        </w:rPr>
        <w:t xml:space="preserve">It </w:t>
      </w:r>
      <w:r w:rsidR="00F16110">
        <w:rPr>
          <w:bCs/>
        </w:rPr>
        <w:t>is</w:t>
      </w:r>
      <w:r w:rsidRPr="00A128B3">
        <w:rPr>
          <w:bCs/>
        </w:rPr>
        <w:t xml:space="preserve"> reported that hyenanchin is not present in the tutu plant, but is formed as a metabolite of tutin by the vine hopper</w:t>
      </w:r>
      <w:r w:rsidR="00F16110">
        <w:rPr>
          <w:bCs/>
        </w:rPr>
        <w:t xml:space="preserve"> </w:t>
      </w:r>
      <w:r w:rsidR="00F16110" w:rsidRPr="00C46C9B">
        <w:rPr>
          <w:bCs/>
          <w:i/>
        </w:rPr>
        <w:t>Scolypopa australis</w:t>
      </w:r>
      <w:r w:rsidRPr="00A128B3">
        <w:rPr>
          <w:bCs/>
        </w:rPr>
        <w:t xml:space="preserve"> (Palmer-Jones and White 1949). Hyenanchin was first isolated from the southern African plant </w:t>
      </w:r>
      <w:r w:rsidRPr="00A128B3">
        <w:rPr>
          <w:bCs/>
          <w:i/>
        </w:rPr>
        <w:t>Hyaenanche globosa</w:t>
      </w:r>
      <w:r w:rsidR="0051623C">
        <w:rPr>
          <w:bCs/>
        </w:rPr>
        <w:t xml:space="preserve">. </w:t>
      </w:r>
      <w:r w:rsidRPr="00A128B3">
        <w:rPr>
          <w:bCs/>
        </w:rPr>
        <w:t xml:space="preserve">Tutin has also been isolated from </w:t>
      </w:r>
      <w:r w:rsidR="00184E71">
        <w:rPr>
          <w:bCs/>
          <w:i/>
        </w:rPr>
        <w:t>H. </w:t>
      </w:r>
      <w:r w:rsidR="0051623C" w:rsidRPr="00C46C9B">
        <w:rPr>
          <w:bCs/>
          <w:i/>
        </w:rPr>
        <w:t>globosa</w:t>
      </w:r>
      <w:r w:rsidRPr="00A128B3">
        <w:rPr>
          <w:bCs/>
        </w:rPr>
        <w:t xml:space="preserve"> (Momtaz et al 2010).</w:t>
      </w:r>
    </w:p>
    <w:p w:rsidR="003525A8" w:rsidRDefault="003525A8" w:rsidP="003A5531"/>
    <w:p w:rsidR="003A5531" w:rsidRPr="00A128B3" w:rsidRDefault="003A5531" w:rsidP="003A5531">
      <w:r w:rsidRPr="00A128B3">
        <w:t>Prior to the 2008 honey poisoning incident there were inadequate data to enable an assessment of the relative acute oral toxicities of tutin and hyenanchin</w:t>
      </w:r>
      <w:r w:rsidR="00184E71">
        <w:t xml:space="preserve"> in animals</w:t>
      </w:r>
      <w:r w:rsidRPr="00A128B3">
        <w:t xml:space="preserve">. </w:t>
      </w:r>
      <w:r w:rsidRPr="00A128B3">
        <w:rPr>
          <w:bCs/>
          <w:iCs/>
        </w:rPr>
        <w:t>The only oral toxicity data located for hyenanchin were from acute toxicity studies that reported LD</w:t>
      </w:r>
      <w:r w:rsidRPr="00A128B3">
        <w:rPr>
          <w:bCs/>
          <w:iCs/>
          <w:vertAlign w:val="subscript"/>
        </w:rPr>
        <w:t>50</w:t>
      </w:r>
      <w:r w:rsidRPr="00A128B3">
        <w:rPr>
          <w:bCs/>
          <w:iCs/>
        </w:rPr>
        <w:t xml:space="preserve"> values of 40-90 mg/kg for rats and 12 mg/kg for guinea pigs (</w:t>
      </w:r>
      <w:r w:rsidRPr="00A128B3">
        <w:t>Palmer-Jones 1947b).The same paper reported an oral LD</w:t>
      </w:r>
      <w:r w:rsidRPr="00A128B3">
        <w:rPr>
          <w:vertAlign w:val="subscript"/>
        </w:rPr>
        <w:t>50</w:t>
      </w:r>
      <w:r w:rsidRPr="00A128B3">
        <w:t xml:space="preserve"> for tutin in rats of approximately 20 mg/kg, (i.e. 2- to approximately 4-fold lower than the value for hyenanchin). For guinea pigs, the only other species tested for acute oral toxicity, the LD</w:t>
      </w:r>
      <w:r w:rsidRPr="00A128B3">
        <w:rPr>
          <w:vertAlign w:val="subscript"/>
        </w:rPr>
        <w:t>75</w:t>
      </w:r>
      <w:r w:rsidRPr="00A128B3">
        <w:t xml:space="preserve"> was 1.2 mg/kg bw (the LD</w:t>
      </w:r>
      <w:r w:rsidRPr="00A128B3">
        <w:rPr>
          <w:vertAlign w:val="subscript"/>
        </w:rPr>
        <w:t>50</w:t>
      </w:r>
      <w:r w:rsidRPr="00A128B3">
        <w:t xml:space="preserve"> was not reported). For non-oral routes of administration, published reports suggest that the acute toxicity of hyenanchin is 5- to 10-fold lower than that of tutin.</w:t>
      </w:r>
    </w:p>
    <w:p w:rsidR="003A5531" w:rsidRPr="00A128B3" w:rsidRDefault="003A5531" w:rsidP="003A5531"/>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3A5531" w:rsidRPr="00A128B3" w:rsidTr="001F7A6E">
        <w:tc>
          <w:tcPr>
            <w:tcW w:w="9242" w:type="dxa"/>
          </w:tcPr>
          <w:p w:rsidR="003A5531" w:rsidRPr="00A128B3" w:rsidRDefault="003A5531" w:rsidP="001F7A6E">
            <w:r w:rsidRPr="00A128B3">
              <w:rPr>
                <w:bCs/>
                <w:iCs/>
              </w:rPr>
              <w:t>Munday R (2008b) Acute toxicity of hyenanchin in mice.</w:t>
            </w:r>
            <w:r w:rsidRPr="00A128B3">
              <w:t xml:space="preserve"> </w:t>
            </w:r>
            <w:r w:rsidRPr="00A128B3">
              <w:rPr>
                <w:bCs/>
                <w:iCs/>
              </w:rPr>
              <w:t xml:space="preserve">Unpublished report. </w:t>
            </w:r>
            <w:r w:rsidR="00F16110">
              <w:rPr>
                <w:bCs/>
                <w:iCs/>
              </w:rPr>
              <w:t xml:space="preserve">Report no. DST 89076 </w:t>
            </w:r>
            <w:r w:rsidRPr="00A128B3">
              <w:t xml:space="preserve"> </w:t>
            </w:r>
            <w:r w:rsidRPr="00A128B3">
              <w:rPr>
                <w:b/>
              </w:rPr>
              <w:t>Lab</w:t>
            </w:r>
            <w:r w:rsidRPr="00A128B3">
              <w:t xml:space="preserve">: AgResearch, Hamilton, New Zealand. </w:t>
            </w:r>
            <w:r w:rsidRPr="00A128B3">
              <w:rPr>
                <w:b/>
              </w:rPr>
              <w:t>Date</w:t>
            </w:r>
            <w:r w:rsidRPr="00A128B3">
              <w:t xml:space="preserve">: November 2008. </w:t>
            </w:r>
            <w:r w:rsidRPr="00A128B3">
              <w:rPr>
                <w:b/>
              </w:rPr>
              <w:t>GLP</w:t>
            </w:r>
            <w:r w:rsidRPr="00A128B3">
              <w:t>: No.</w:t>
            </w:r>
          </w:p>
        </w:tc>
      </w:tr>
    </w:tbl>
    <w:p w:rsidR="003A5531" w:rsidRPr="00A128B3" w:rsidRDefault="003A5531" w:rsidP="003A5531"/>
    <w:p w:rsidR="003A5531" w:rsidRPr="00A128B3" w:rsidRDefault="003A5531" w:rsidP="003A5531">
      <w:r w:rsidRPr="00A128B3">
        <w:t xml:space="preserve">An acute oral toxicity study of hyenanchin in mice was commissioned by NZFSA in 2008 following the honey poisoning incident (Munday 2008b). Hyenanchin, isolated from </w:t>
      </w:r>
      <w:r w:rsidRPr="00A128B3">
        <w:rPr>
          <w:i/>
        </w:rPr>
        <w:t>Hyaenanche globosa</w:t>
      </w:r>
      <w:r w:rsidRPr="00A128B3">
        <w:t xml:space="preserve"> and purified</w:t>
      </w:r>
      <w:r w:rsidRPr="00A128B3">
        <w:rPr>
          <w:vertAlign w:val="superscript"/>
        </w:rPr>
        <w:footnoteReference w:id="3"/>
      </w:r>
      <w:r w:rsidRPr="00A128B3">
        <w:t>, was administered as an aqueous solution by gavage to fasted female Swiss albino mice, 6-7 weeks old, of initial body weight 18-22 g. The dose levels were 50, 100, 200 and 320 mg/kg bw. The number of mice dosed was only reported for the high dose group (n = 3). No effects due to hyenanchin were reported at any of the doses during the day of dosing or during the subsequent two-week observation period. It was stated that the mice rapidly regained the weight lost during the overnight fast and continued to gain weight over the observation period. At necropsy, it was stated that no abnormalities were detected, and that weights of liver, spleen, heart, lungs, intestine and brain were in the normal range.</w:t>
      </w:r>
    </w:p>
    <w:p w:rsidR="003A5531" w:rsidRPr="00A128B3" w:rsidRDefault="003A5531" w:rsidP="003A5531"/>
    <w:p w:rsidR="003A5531" w:rsidRPr="00A128B3" w:rsidRDefault="003A5531" w:rsidP="003A5531">
      <w:r w:rsidRPr="00A128B3">
        <w:t>The acute toxicity of hyenanchin administered to mice by the IP route was also investigated. No effects were observed at doses ≤ 30 mg/kg bw</w:t>
      </w:r>
      <w:r w:rsidRPr="00A128B3">
        <w:rPr>
          <w:vertAlign w:val="superscript"/>
        </w:rPr>
        <w:footnoteReference w:id="4"/>
      </w:r>
      <w:r w:rsidRPr="00A128B3">
        <w:t>. At doses of 120, 159, 200 and 250 mg/kg bw, abdominal breathing was observed soon after dosing and the mice became lethargic, with stiffness evident in the hind legs. Clinical signs resolved 1.5-2 h post-injection. At 300 mg/kg bw</w:t>
      </w:r>
      <w:r w:rsidRPr="00A128B3">
        <w:rPr>
          <w:vertAlign w:val="superscript"/>
        </w:rPr>
        <w:footnoteReference w:id="5"/>
      </w:r>
      <w:r w:rsidRPr="00A128B3">
        <w:t xml:space="preserve">, the mice were lethargic and abdominal breathing and tremors occurred soon after dosing. The mice returned to normal 3-3.5 h post-dose and remained normal throughout the subsequent observation period. Thus, in contrast to tutin, hyenanchin appears to be substantially more acutely toxic by the IP route relative to the oral route. It is possible that, for the oral route, hyenanchin is subject to appreciable first pass metabolism, potentially arising from participation of the additional hydroxyl group in </w:t>
      </w:r>
      <w:r w:rsidR="000A2890">
        <w:t>phase II metabolic reactions</w:t>
      </w:r>
      <w:r w:rsidRPr="00A128B3">
        <w:t>.</w:t>
      </w:r>
    </w:p>
    <w:p w:rsidR="00680F3A" w:rsidRDefault="00680F3A" w:rsidP="003A5531">
      <w: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42"/>
      </w:tblGrid>
      <w:tr w:rsidR="003A5531" w:rsidRPr="00A128B3" w:rsidTr="00C46C9B">
        <w:tc>
          <w:tcPr>
            <w:tcW w:w="9242" w:type="dxa"/>
          </w:tcPr>
          <w:p w:rsidR="003A5531" w:rsidRPr="00A128B3" w:rsidRDefault="003A5531" w:rsidP="001F7A6E">
            <w:r w:rsidRPr="00A128B3">
              <w:rPr>
                <w:bCs/>
                <w:iCs/>
              </w:rPr>
              <w:lastRenderedPageBreak/>
              <w:t>Munday R (2011) Acute toxicity to mice of an hyenanchin-dihydrohyenanchin mixture in mice.</w:t>
            </w:r>
            <w:r w:rsidRPr="00A128B3">
              <w:t xml:space="preserve"> </w:t>
            </w:r>
            <w:r w:rsidRPr="00A128B3">
              <w:rPr>
                <w:bCs/>
                <w:iCs/>
              </w:rPr>
              <w:t xml:space="preserve">Unpublished report. </w:t>
            </w:r>
            <w:r w:rsidRPr="00A128B3">
              <w:t xml:space="preserve"> </w:t>
            </w:r>
            <w:r w:rsidRPr="00A128B3">
              <w:rPr>
                <w:b/>
              </w:rPr>
              <w:t>Lab</w:t>
            </w:r>
            <w:r w:rsidRPr="00A128B3">
              <w:t xml:space="preserve">: AgResearch, Hamilton, New Zealand. </w:t>
            </w:r>
            <w:r w:rsidRPr="00A128B3">
              <w:rPr>
                <w:b/>
              </w:rPr>
              <w:t>Date</w:t>
            </w:r>
            <w:r w:rsidRPr="00A128B3">
              <w:t xml:space="preserve">: February 2011. </w:t>
            </w:r>
            <w:r w:rsidRPr="00A128B3">
              <w:rPr>
                <w:b/>
              </w:rPr>
              <w:t>GLP</w:t>
            </w:r>
            <w:r w:rsidRPr="00A128B3">
              <w:t>: No.</w:t>
            </w:r>
          </w:p>
        </w:tc>
      </w:tr>
    </w:tbl>
    <w:p w:rsidR="003A5531" w:rsidRPr="00A128B3" w:rsidRDefault="003A5531" w:rsidP="003A5531"/>
    <w:p w:rsidR="003A5531" w:rsidRDefault="003A5531" w:rsidP="003A5531">
      <w:r w:rsidRPr="00A128B3">
        <w:t xml:space="preserve">A subsequent oral acute toxicity study in mice with an 80:20 </w:t>
      </w:r>
      <w:r w:rsidR="00310CE3">
        <w:t xml:space="preserve">w/w </w:t>
      </w:r>
      <w:r w:rsidRPr="00A128B3">
        <w:t xml:space="preserve">mixture of hyenanchin and dihydrohyenanchin resulted in no deaths at doses of 320, 640, 900, 1280 or 2000 mg/kg bw, the highest dose tested. No effects were observed at a dose of 320 mg/kg bw. At 640, 900 and 1280 mg/kg bw, abdominal breathing and lethargy were observed soon after dosing. After 3-3.5 h these mice showed normal appearance and behaviour which persisted throughout the remainder of the 14-day observation period. At 2000 mg/kg bw, immobility was observed 10-20 min after dosing and respiratory rate was decreased (90-110 breaths/minute </w:t>
      </w:r>
      <w:r w:rsidRPr="00A128B3">
        <w:rPr>
          <w:i/>
        </w:rPr>
        <w:t>cf</w:t>
      </w:r>
      <w:r w:rsidRPr="00A128B3">
        <w:t xml:space="preserve"> the normal rate of ~130 breaths/minute). Respiration rates normalised within 1-1.5 h, and the mice showed normal appearance and behaviour after 2.5-3.5 h. The body weights of all the mice increased during the observation period, and their appearance and behaviour remained normal during this time. No abnormalities were detected at necropsy, and the bodyweight-relative weights of examined organs (liver kidneys, spleen, heart, lungs) were within the normal range.</w:t>
      </w:r>
    </w:p>
    <w:p w:rsidR="003A5531" w:rsidRPr="00A128B3" w:rsidRDefault="003A5531" w:rsidP="00BD21BD">
      <w:pPr>
        <w:pStyle w:val="Heading4"/>
      </w:pPr>
      <w:r w:rsidRPr="00A128B3">
        <w:t>Genotoxicity</w:t>
      </w:r>
    </w:p>
    <w:tbl>
      <w:tblPr>
        <w:tblStyle w:val="TableGrid3"/>
        <w:tblW w:w="0" w:type="auto"/>
        <w:tblLook w:val="04A0" w:firstRow="1" w:lastRow="0" w:firstColumn="1" w:lastColumn="0" w:noHBand="0" w:noVBand="1"/>
      </w:tblPr>
      <w:tblGrid>
        <w:gridCol w:w="9242"/>
      </w:tblGrid>
      <w:tr w:rsidR="00E250BD" w:rsidRPr="002C2DE5" w:rsidTr="00D337D0">
        <w:tc>
          <w:tcPr>
            <w:tcW w:w="92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250BD" w:rsidRPr="002C2DE5" w:rsidRDefault="00E250BD" w:rsidP="00D337D0">
            <w:pPr>
              <w:spacing w:before="40" w:after="40"/>
              <w:rPr>
                <w:rFonts w:eastAsia="Times New Roman" w:cs="Arial"/>
                <w:color w:val="000000"/>
                <w:sz w:val="20"/>
                <w:szCs w:val="20"/>
                <w:lang w:bidi="ar-SA"/>
              </w:rPr>
            </w:pPr>
            <w:r w:rsidRPr="002C2DE5">
              <w:rPr>
                <w:rFonts w:cs="Arial"/>
                <w:color w:val="000000"/>
                <w:sz w:val="20"/>
                <w:szCs w:val="20"/>
                <w:lang w:bidi="ar-SA"/>
              </w:rPr>
              <w:t xml:space="preserve">Pagnon J, Karunasinghe N, Ferguson LR (2009) </w:t>
            </w:r>
            <w:r w:rsidRPr="002C2DE5">
              <w:rPr>
                <w:rFonts w:cs="Arial"/>
                <w:bCs/>
                <w:sz w:val="20"/>
                <w:szCs w:val="20"/>
                <w:lang w:bidi="ar-SA"/>
              </w:rPr>
              <w:t>Genetic Toxicology Report. Ames bacterial mutagenicity tests for tutin and hyenanchin + dihydrohyenanchin.</w:t>
            </w:r>
            <w:r w:rsidRPr="002C2DE5">
              <w:rPr>
                <w:lang w:bidi="ar-SA"/>
              </w:rPr>
              <w:t xml:space="preserve"> </w:t>
            </w:r>
            <w:r w:rsidRPr="002C2DE5">
              <w:rPr>
                <w:rFonts w:cs="Arial"/>
                <w:bCs/>
                <w:sz w:val="20"/>
                <w:szCs w:val="20"/>
                <w:lang w:bidi="ar-SA"/>
              </w:rPr>
              <w:t xml:space="preserve">Unpublished report.  </w:t>
            </w:r>
            <w:r w:rsidRPr="002C2DE5">
              <w:rPr>
                <w:rFonts w:cs="Arial"/>
                <w:b/>
                <w:bCs/>
                <w:sz w:val="20"/>
                <w:szCs w:val="20"/>
                <w:lang w:bidi="ar-SA"/>
              </w:rPr>
              <w:t>Lab</w:t>
            </w:r>
            <w:r w:rsidRPr="002C2DE5">
              <w:rPr>
                <w:rFonts w:cs="Arial"/>
                <w:bCs/>
                <w:sz w:val="20"/>
                <w:szCs w:val="20"/>
                <w:lang w:bidi="ar-SA"/>
              </w:rPr>
              <w:t xml:space="preserve">: Auckland Cancer Society Research Centre, Faculty of Medical and Health Sciences, University of Auckland, New Zealand. </w:t>
            </w:r>
            <w:r w:rsidRPr="002C2DE5">
              <w:rPr>
                <w:rFonts w:cs="Arial"/>
                <w:b/>
                <w:bCs/>
                <w:sz w:val="20"/>
                <w:szCs w:val="20"/>
                <w:lang w:bidi="ar-SA"/>
              </w:rPr>
              <w:t>Date</w:t>
            </w:r>
            <w:r w:rsidRPr="002C2DE5">
              <w:rPr>
                <w:rFonts w:cs="Arial"/>
                <w:bCs/>
                <w:sz w:val="20"/>
                <w:szCs w:val="20"/>
                <w:lang w:bidi="ar-SA"/>
              </w:rPr>
              <w:t xml:space="preserve">: 11 September 2009. </w:t>
            </w:r>
            <w:r w:rsidRPr="002C2DE5">
              <w:rPr>
                <w:rFonts w:cs="Arial"/>
                <w:b/>
                <w:bCs/>
                <w:sz w:val="20"/>
                <w:szCs w:val="20"/>
                <w:lang w:bidi="ar-SA"/>
              </w:rPr>
              <w:t>GLP</w:t>
            </w:r>
            <w:r w:rsidRPr="002C2DE5">
              <w:rPr>
                <w:rFonts w:cs="Arial"/>
                <w:bCs/>
                <w:sz w:val="20"/>
                <w:szCs w:val="20"/>
                <w:lang w:bidi="ar-SA"/>
              </w:rPr>
              <w:t>: No.</w:t>
            </w:r>
          </w:p>
        </w:tc>
      </w:tr>
    </w:tbl>
    <w:p w:rsidR="00E250BD" w:rsidRPr="002C2DE5" w:rsidRDefault="00E250BD" w:rsidP="00E250BD">
      <w:pPr>
        <w:widowControl/>
        <w:autoSpaceDE w:val="0"/>
        <w:autoSpaceDN w:val="0"/>
        <w:adjustRightInd w:val="0"/>
        <w:rPr>
          <w:rFonts w:cs="Arial"/>
          <w:iCs/>
          <w:lang w:bidi="ar-SA"/>
        </w:rPr>
      </w:pPr>
    </w:p>
    <w:p w:rsidR="00E250BD" w:rsidRPr="002C2DE5" w:rsidRDefault="00E250BD" w:rsidP="00E250BD">
      <w:pPr>
        <w:widowControl/>
        <w:autoSpaceDE w:val="0"/>
        <w:autoSpaceDN w:val="0"/>
        <w:adjustRightInd w:val="0"/>
        <w:rPr>
          <w:rFonts w:cs="Arial"/>
          <w:bCs/>
          <w:lang w:bidi="ar-SA"/>
        </w:rPr>
      </w:pPr>
      <w:r>
        <w:rPr>
          <w:rFonts w:cs="Arial"/>
          <w:iCs/>
          <w:lang w:bidi="ar-SA"/>
        </w:rPr>
        <w:t>A</w:t>
      </w:r>
      <w:r w:rsidRPr="002C2DE5">
        <w:rPr>
          <w:rFonts w:cs="Arial"/>
          <w:iCs/>
          <w:lang w:bidi="ar-SA"/>
        </w:rPr>
        <w:t xml:space="preserve"> mixture of </w:t>
      </w:r>
      <w:r w:rsidRPr="002C2DE5">
        <w:rPr>
          <w:rFonts w:cs="Arial"/>
          <w:bCs/>
          <w:lang w:bidi="ar-SA"/>
        </w:rPr>
        <w:t>hyenan</w:t>
      </w:r>
      <w:r>
        <w:rPr>
          <w:rFonts w:cs="Arial"/>
          <w:bCs/>
          <w:lang w:bidi="ar-SA"/>
        </w:rPr>
        <w:t>chin and dihydrohyenanchin, was</w:t>
      </w:r>
      <w:r w:rsidRPr="002C2DE5">
        <w:rPr>
          <w:rFonts w:cs="Arial"/>
          <w:bCs/>
          <w:lang w:bidi="ar-SA"/>
        </w:rPr>
        <w:t xml:space="preserve"> tested for mutagenic activity in bacterial reverse mutation assays (Ames tests) using </w:t>
      </w:r>
      <w:r w:rsidRPr="002C2DE5">
        <w:rPr>
          <w:rFonts w:cs="Arial"/>
          <w:bCs/>
          <w:i/>
          <w:lang w:bidi="ar-SA"/>
        </w:rPr>
        <w:t>Salmonella typhimurium</w:t>
      </w:r>
      <w:r w:rsidRPr="002C2DE5">
        <w:rPr>
          <w:rFonts w:cs="Arial"/>
          <w:bCs/>
          <w:lang w:bidi="ar-SA"/>
        </w:rPr>
        <w:t xml:space="preserve"> strains TA98, TA100, TA102, TA1535 and TA1537. Plate incubations were conducted both in the absence and presence of S9 metabolising mixture produced from the livers of Aroclor 1254-induced rats (male Sprague-Dawley). Mutagenicity assays were conducted in triplicate. The maximum tested </w:t>
      </w:r>
      <w:r>
        <w:rPr>
          <w:rFonts w:cs="Arial"/>
          <w:bCs/>
          <w:lang w:bidi="ar-SA"/>
        </w:rPr>
        <w:t xml:space="preserve">tutin </w:t>
      </w:r>
      <w:r w:rsidRPr="002C2DE5">
        <w:rPr>
          <w:rFonts w:cs="Arial"/>
          <w:bCs/>
          <w:lang w:bidi="ar-SA"/>
        </w:rPr>
        <w:t>concentration was 86.7 µg/mL, which corresponds to 375 µg per plate for the small plates used (3 cm diameter). This amount equates to 3 mg per plate for a standard 10 cm plate (8-times the volume of a 3 cm plate) which is similar to the recommended maximum of 5 mg per plate for soluble non-cytotoxic compounds (OECD 1997</w:t>
      </w:r>
      <w:r>
        <w:rPr>
          <w:rFonts w:cs="Arial"/>
          <w:bCs/>
          <w:lang w:bidi="ar-SA"/>
        </w:rPr>
        <w:t>a</w:t>
      </w:r>
      <w:r w:rsidRPr="002C2DE5">
        <w:rPr>
          <w:rFonts w:cs="Arial"/>
          <w:bCs/>
          <w:lang w:bidi="ar-SA"/>
        </w:rPr>
        <w:t xml:space="preserve">). No cytotoxicity was observed at any of the concentrations tested. Positive control compounds exhibited an expected degree of mutagenic activity except for 2-aminoanthracene </w:t>
      </w:r>
      <w:r>
        <w:rPr>
          <w:rFonts w:cs="Arial"/>
          <w:bCs/>
          <w:lang w:bidi="ar-SA"/>
        </w:rPr>
        <w:t xml:space="preserve">which was </w:t>
      </w:r>
      <w:r w:rsidRPr="002C2DE5">
        <w:rPr>
          <w:rFonts w:cs="Arial"/>
          <w:bCs/>
          <w:lang w:bidi="ar-SA"/>
        </w:rPr>
        <w:t xml:space="preserve">used as a positive control for strain TA102 in the presence of S9. </w:t>
      </w:r>
    </w:p>
    <w:p w:rsidR="00E250BD" w:rsidRPr="002C2DE5" w:rsidRDefault="00E250BD" w:rsidP="00E250BD">
      <w:pPr>
        <w:widowControl/>
        <w:autoSpaceDE w:val="0"/>
        <w:autoSpaceDN w:val="0"/>
        <w:adjustRightInd w:val="0"/>
        <w:rPr>
          <w:rFonts w:cs="Arial"/>
          <w:bCs/>
          <w:lang w:bidi="ar-SA"/>
        </w:rPr>
      </w:pPr>
    </w:p>
    <w:p w:rsidR="00E250BD" w:rsidRPr="002C2DE5" w:rsidRDefault="00E250BD" w:rsidP="00E250BD">
      <w:pPr>
        <w:widowControl/>
        <w:autoSpaceDE w:val="0"/>
        <w:autoSpaceDN w:val="0"/>
        <w:adjustRightInd w:val="0"/>
        <w:rPr>
          <w:rFonts w:cs="Arial"/>
          <w:bCs/>
          <w:lang w:bidi="ar-SA"/>
        </w:rPr>
      </w:pPr>
      <w:r w:rsidRPr="002C2DE5">
        <w:rPr>
          <w:rFonts w:cs="Arial"/>
          <w:bCs/>
          <w:lang w:bidi="ar-SA"/>
        </w:rPr>
        <w:t xml:space="preserve">The hyenanchin + dihydrohyenanchin mixture showed no increase in the number of revertant colonies compared to the background levels for strains TA98, TA102, TA1535 and TA1537, both in the absence and presence of S9. For strain TA100, and only at the maximum concentration tested, a greater than two-fold increase in the number of revertant colonies was observed, both in the absence (2.7-fold increase) and presence (2.2-fold increase) of S9. The assay was repeated and again a greater than two-fold increase in the number of revertant colonies was observed, also only at the maximum concentration (-S9: 2.2-fold; +S9: 2.3-fold). However, </w:t>
      </w:r>
      <w:r>
        <w:rPr>
          <w:rFonts w:cs="Arial"/>
          <w:bCs/>
          <w:lang w:bidi="ar-SA"/>
        </w:rPr>
        <w:t>there was large variation in the triplicate analyses and t</w:t>
      </w:r>
      <w:r w:rsidRPr="002C2DE5">
        <w:rPr>
          <w:rFonts w:cs="Arial"/>
          <w:bCs/>
          <w:lang w:bidi="ar-SA"/>
        </w:rPr>
        <w:t xml:space="preserve">he observed increases may therefore not be statistically significant (analysis of statistical significance was not performed). In addition, the positive controls sodium azide and 2-aminoanthracene gave revertant colony counts which were 6- to 7-fold greater than those observed for hyenanchin + dihydrohyenanchin at the maximum concentration. </w:t>
      </w:r>
    </w:p>
    <w:p w:rsidR="00E250BD" w:rsidRPr="002C2DE5" w:rsidRDefault="00E250BD" w:rsidP="00E250BD">
      <w:pPr>
        <w:widowControl/>
        <w:autoSpaceDE w:val="0"/>
        <w:autoSpaceDN w:val="0"/>
        <w:adjustRightInd w:val="0"/>
        <w:rPr>
          <w:rFonts w:cs="Arial"/>
          <w:bCs/>
          <w:lang w:bidi="ar-SA"/>
        </w:rPr>
      </w:pPr>
    </w:p>
    <w:p w:rsidR="00680F3A" w:rsidRDefault="00680F3A" w:rsidP="00E250BD">
      <w:pPr>
        <w:widowControl/>
        <w:autoSpaceDE w:val="0"/>
        <w:autoSpaceDN w:val="0"/>
        <w:adjustRightInd w:val="0"/>
        <w:rPr>
          <w:rFonts w:cs="Arial"/>
          <w:bCs/>
          <w:lang w:bidi="ar-SA"/>
        </w:rPr>
      </w:pPr>
      <w:r>
        <w:rPr>
          <w:rFonts w:cs="Arial"/>
          <w:bCs/>
          <w:lang w:bidi="ar-SA"/>
        </w:rPr>
        <w:br w:type="page"/>
      </w:r>
    </w:p>
    <w:p w:rsidR="00E250BD" w:rsidRPr="002C2DE5" w:rsidRDefault="00E250BD" w:rsidP="00E250BD">
      <w:pPr>
        <w:widowControl/>
        <w:autoSpaceDE w:val="0"/>
        <w:autoSpaceDN w:val="0"/>
        <w:adjustRightInd w:val="0"/>
        <w:rPr>
          <w:rFonts w:cs="Arial"/>
          <w:bCs/>
          <w:lang w:bidi="ar-SA"/>
        </w:rPr>
      </w:pPr>
      <w:r w:rsidRPr="002C2DE5">
        <w:rPr>
          <w:rFonts w:cs="Arial"/>
          <w:bCs/>
          <w:lang w:bidi="ar-SA"/>
        </w:rPr>
        <w:lastRenderedPageBreak/>
        <w:t xml:space="preserve">It is concluded that: </w:t>
      </w:r>
      <w:r>
        <w:rPr>
          <w:rFonts w:cs="Arial"/>
          <w:bCs/>
          <w:lang w:bidi="ar-SA"/>
        </w:rPr>
        <w:t>(i</w:t>
      </w:r>
      <w:r w:rsidRPr="002C2DE5">
        <w:rPr>
          <w:rFonts w:cs="Arial"/>
          <w:bCs/>
          <w:lang w:bidi="ar-SA"/>
        </w:rPr>
        <w:t xml:space="preserve">) the hyenanchin + dihydrohyenanchin mixture did not exhibit mutagenic activity in </w:t>
      </w:r>
      <w:r w:rsidRPr="002C2DE5">
        <w:rPr>
          <w:rFonts w:cs="Arial"/>
          <w:bCs/>
          <w:i/>
          <w:lang w:bidi="ar-SA"/>
        </w:rPr>
        <w:t>S. typhimurium</w:t>
      </w:r>
      <w:r w:rsidRPr="002C2DE5">
        <w:rPr>
          <w:rFonts w:cs="Arial"/>
          <w:bCs/>
          <w:lang w:bidi="ar-SA"/>
        </w:rPr>
        <w:t xml:space="preserve"> strains TA98, TA1535 and TA1537 (±S9) or</w:t>
      </w:r>
      <w:r>
        <w:rPr>
          <w:rFonts w:cs="Arial"/>
          <w:bCs/>
          <w:lang w:bidi="ar-SA"/>
        </w:rPr>
        <w:t xml:space="preserve"> for strain TA102 (-S9); and (ii</w:t>
      </w:r>
      <w:r w:rsidRPr="002C2DE5">
        <w:rPr>
          <w:rFonts w:cs="Arial"/>
          <w:bCs/>
          <w:lang w:bidi="ar-SA"/>
        </w:rPr>
        <w:t xml:space="preserve">) the increases in revertant colony counts for hyenanchin + dihydrohyenanchin observed for </w:t>
      </w:r>
      <w:r w:rsidRPr="002C2DE5">
        <w:rPr>
          <w:rFonts w:cs="Arial"/>
          <w:bCs/>
          <w:i/>
          <w:lang w:bidi="ar-SA"/>
        </w:rPr>
        <w:t>S. typhimurium</w:t>
      </w:r>
      <w:r w:rsidRPr="002C2DE5">
        <w:rPr>
          <w:rFonts w:cs="Arial"/>
          <w:bCs/>
          <w:lang w:bidi="ar-SA"/>
        </w:rPr>
        <w:t xml:space="preserve"> strain TA100 may not be statistically significant.</w:t>
      </w:r>
    </w:p>
    <w:p w:rsidR="00A128B3" w:rsidRPr="001B7DE7" w:rsidRDefault="00885031" w:rsidP="00C46C9B">
      <w:pPr>
        <w:pStyle w:val="Two"/>
      </w:pPr>
      <w:bookmarkStart w:id="35" w:name="_Toc360028611"/>
      <w:bookmarkStart w:id="36" w:name="_Toc401143927"/>
      <w:r>
        <w:t>2</w:t>
      </w:r>
      <w:r w:rsidR="00A128B3" w:rsidRPr="001B7DE7">
        <w:t>.</w:t>
      </w:r>
      <w:r w:rsidR="00A128B3">
        <w:t>3</w:t>
      </w:r>
      <w:r w:rsidR="00A128B3" w:rsidRPr="001B7DE7">
        <w:tab/>
        <w:t>Discussion</w:t>
      </w:r>
      <w:bookmarkEnd w:id="35"/>
      <w:bookmarkEnd w:id="36"/>
    </w:p>
    <w:p w:rsidR="00834191" w:rsidRDefault="00834191" w:rsidP="00834191">
      <w:pPr>
        <w:rPr>
          <w:rFonts w:cs="Arial"/>
        </w:rPr>
      </w:pPr>
      <w:r>
        <w:rPr>
          <w:rFonts w:cs="Arial"/>
          <w:i/>
        </w:rPr>
        <w:t>I</w:t>
      </w:r>
      <w:r w:rsidR="00886C92" w:rsidRPr="00C46C9B">
        <w:rPr>
          <w:rFonts w:cs="Arial"/>
          <w:i/>
        </w:rPr>
        <w:t>n vitro</w:t>
      </w:r>
      <w:r w:rsidR="00886C92">
        <w:rPr>
          <w:rFonts w:cs="Arial"/>
        </w:rPr>
        <w:t xml:space="preserve"> and animal toxicity studies </w:t>
      </w:r>
      <w:r>
        <w:rPr>
          <w:rFonts w:cs="Arial"/>
        </w:rPr>
        <w:t>using purified</w:t>
      </w:r>
      <w:r w:rsidR="00886C92">
        <w:rPr>
          <w:rFonts w:cs="Arial"/>
        </w:rPr>
        <w:t xml:space="preserve"> tutin and hyenanchin became available within 3 years after the 2008 honey poisoning incident in New Zealand</w:t>
      </w:r>
      <w:r>
        <w:rPr>
          <w:rFonts w:cs="Arial"/>
        </w:rPr>
        <w:t>. T</w:t>
      </w:r>
      <w:r w:rsidR="00886C92">
        <w:rPr>
          <w:rFonts w:cs="Arial"/>
        </w:rPr>
        <w:t xml:space="preserve">he findings from these studies are summarised above. </w:t>
      </w:r>
      <w:r w:rsidR="004E25FE">
        <w:rPr>
          <w:rFonts w:cs="Arial"/>
        </w:rPr>
        <w:t>S</w:t>
      </w:r>
      <w:r>
        <w:rPr>
          <w:rFonts w:cs="Arial"/>
        </w:rPr>
        <w:t>tudies</w:t>
      </w:r>
      <w:r w:rsidR="004E25FE">
        <w:rPr>
          <w:rFonts w:cs="Arial"/>
        </w:rPr>
        <w:t xml:space="preserve"> from the 1940s</w:t>
      </w:r>
      <w:r>
        <w:rPr>
          <w:rFonts w:cs="Arial"/>
        </w:rPr>
        <w:t xml:space="preserve">, in which </w:t>
      </w:r>
      <w:r w:rsidRPr="00834191">
        <w:rPr>
          <w:rFonts w:cs="Arial"/>
        </w:rPr>
        <w:t xml:space="preserve">the </w:t>
      </w:r>
      <w:r w:rsidR="004E25FE">
        <w:rPr>
          <w:rFonts w:cs="Arial"/>
        </w:rPr>
        <w:t>composition/</w:t>
      </w:r>
      <w:r w:rsidR="0087357B">
        <w:rPr>
          <w:rFonts w:cs="Arial"/>
        </w:rPr>
        <w:t xml:space="preserve"> </w:t>
      </w:r>
      <w:r w:rsidRPr="00834191">
        <w:rPr>
          <w:rFonts w:cs="Arial"/>
        </w:rPr>
        <w:t xml:space="preserve">purity of </w:t>
      </w:r>
      <w:r w:rsidR="004E25FE">
        <w:rPr>
          <w:rFonts w:cs="Arial"/>
        </w:rPr>
        <w:t xml:space="preserve">the </w:t>
      </w:r>
      <w:r>
        <w:rPr>
          <w:rFonts w:cs="Arial"/>
        </w:rPr>
        <w:t xml:space="preserve">administered </w:t>
      </w:r>
      <w:r w:rsidRPr="00834191">
        <w:rPr>
          <w:rFonts w:cs="Arial"/>
        </w:rPr>
        <w:t>tutin and</w:t>
      </w:r>
      <w:r>
        <w:rPr>
          <w:rFonts w:cs="Arial"/>
        </w:rPr>
        <w:t xml:space="preserve"> </w:t>
      </w:r>
      <w:r w:rsidRPr="00834191">
        <w:rPr>
          <w:rFonts w:cs="Arial"/>
        </w:rPr>
        <w:t xml:space="preserve">hyenanchin </w:t>
      </w:r>
      <w:r w:rsidR="004E25FE">
        <w:rPr>
          <w:rFonts w:cs="Arial"/>
        </w:rPr>
        <w:t xml:space="preserve">preparations </w:t>
      </w:r>
      <w:r>
        <w:rPr>
          <w:rFonts w:cs="Arial"/>
        </w:rPr>
        <w:t>wa</w:t>
      </w:r>
      <w:r w:rsidRPr="00834191">
        <w:rPr>
          <w:rFonts w:cs="Arial"/>
        </w:rPr>
        <w:t>s unknown</w:t>
      </w:r>
      <w:r w:rsidR="00770E6A">
        <w:rPr>
          <w:rFonts w:cs="Arial"/>
        </w:rPr>
        <w:t>, indicated that</w:t>
      </w:r>
      <w:r w:rsidRPr="00834191">
        <w:rPr>
          <w:rFonts w:cs="Arial"/>
        </w:rPr>
        <w:t xml:space="preserve"> </w:t>
      </w:r>
      <w:r w:rsidR="00770E6A" w:rsidRPr="00834191">
        <w:rPr>
          <w:rFonts w:cs="Arial"/>
        </w:rPr>
        <w:t xml:space="preserve">tutin was about 10-fold more </w:t>
      </w:r>
      <w:r w:rsidR="006479F6">
        <w:rPr>
          <w:rFonts w:cs="Arial"/>
        </w:rPr>
        <w:t xml:space="preserve">acutely </w:t>
      </w:r>
      <w:r w:rsidR="00770E6A" w:rsidRPr="00834191">
        <w:rPr>
          <w:rFonts w:cs="Arial"/>
        </w:rPr>
        <w:t xml:space="preserve">toxic than hyenanchin </w:t>
      </w:r>
      <w:r w:rsidR="006479F6">
        <w:rPr>
          <w:rFonts w:cs="Arial"/>
        </w:rPr>
        <w:t>based on o</w:t>
      </w:r>
      <w:r w:rsidRPr="00834191">
        <w:rPr>
          <w:rFonts w:cs="Arial"/>
        </w:rPr>
        <w:t>ral LD</w:t>
      </w:r>
      <w:r w:rsidRPr="00C46C9B">
        <w:rPr>
          <w:rFonts w:cs="Arial"/>
          <w:vertAlign w:val="subscript"/>
        </w:rPr>
        <w:t>50</w:t>
      </w:r>
      <w:r w:rsidRPr="00834191">
        <w:rPr>
          <w:rFonts w:cs="Arial"/>
        </w:rPr>
        <w:t xml:space="preserve"> values in</w:t>
      </w:r>
      <w:r w:rsidR="006479F6">
        <w:rPr>
          <w:rFonts w:cs="Arial"/>
        </w:rPr>
        <w:t xml:space="preserve"> </w:t>
      </w:r>
      <w:r w:rsidRPr="00834191">
        <w:rPr>
          <w:rFonts w:cs="Arial"/>
        </w:rPr>
        <w:t>guinea pigs</w:t>
      </w:r>
      <w:r w:rsidR="006479F6">
        <w:rPr>
          <w:rFonts w:cs="Arial"/>
        </w:rPr>
        <w:t>, while in rats this ratio was</w:t>
      </w:r>
      <w:r w:rsidR="004E25FE">
        <w:rPr>
          <w:rFonts w:cs="Arial"/>
        </w:rPr>
        <w:t xml:space="preserve"> </w:t>
      </w:r>
      <w:r w:rsidRPr="00834191">
        <w:rPr>
          <w:rFonts w:cs="Arial"/>
        </w:rPr>
        <w:t>approximately 2-4-fold. However,</w:t>
      </w:r>
      <w:r w:rsidR="006479F6">
        <w:rPr>
          <w:rFonts w:cs="Arial"/>
        </w:rPr>
        <w:t xml:space="preserve"> i</w:t>
      </w:r>
      <w:r w:rsidRPr="00834191">
        <w:rPr>
          <w:rFonts w:cs="Arial"/>
        </w:rPr>
        <w:t>n recent mouse studies using</w:t>
      </w:r>
      <w:r w:rsidR="004E25FE">
        <w:rPr>
          <w:rFonts w:cs="Arial"/>
        </w:rPr>
        <w:t xml:space="preserve"> </w:t>
      </w:r>
      <w:r w:rsidR="004E30E5">
        <w:rPr>
          <w:rFonts w:cs="Arial"/>
        </w:rPr>
        <w:t xml:space="preserve">well characterised, </w:t>
      </w:r>
      <w:r w:rsidRPr="00834191">
        <w:rPr>
          <w:rFonts w:cs="Arial"/>
        </w:rPr>
        <w:t>purified subs</w:t>
      </w:r>
      <w:r w:rsidR="006479F6">
        <w:rPr>
          <w:rFonts w:cs="Arial"/>
        </w:rPr>
        <w:t xml:space="preserve">tances, the lower </w:t>
      </w:r>
      <w:r w:rsidRPr="00834191">
        <w:rPr>
          <w:rFonts w:cs="Arial"/>
        </w:rPr>
        <w:t xml:space="preserve">oral toxicity </w:t>
      </w:r>
      <w:r w:rsidR="006479F6">
        <w:rPr>
          <w:rFonts w:cs="Arial"/>
        </w:rPr>
        <w:t xml:space="preserve">of hyenanchin </w:t>
      </w:r>
      <w:r w:rsidRPr="00834191">
        <w:rPr>
          <w:rFonts w:cs="Arial"/>
        </w:rPr>
        <w:t>is more pronounced with no deaths</w:t>
      </w:r>
      <w:r w:rsidR="004E25FE">
        <w:rPr>
          <w:rFonts w:cs="Arial"/>
        </w:rPr>
        <w:t xml:space="preserve"> </w:t>
      </w:r>
      <w:r w:rsidRPr="00834191">
        <w:rPr>
          <w:rFonts w:cs="Arial"/>
        </w:rPr>
        <w:t>or clinical signs observed at hyenanchin doses 100 times the tutin LD</w:t>
      </w:r>
      <w:r w:rsidRPr="00C46C9B">
        <w:rPr>
          <w:rFonts w:cs="Arial"/>
          <w:vertAlign w:val="subscript"/>
        </w:rPr>
        <w:t>50</w:t>
      </w:r>
      <w:r w:rsidR="00770E6A">
        <w:rPr>
          <w:rFonts w:cs="Arial"/>
        </w:rPr>
        <w:t>.</w:t>
      </w:r>
    </w:p>
    <w:p w:rsidR="004E30E5" w:rsidRDefault="004E30E5" w:rsidP="00BC5F70">
      <w:pPr>
        <w:rPr>
          <w:rFonts w:cs="Arial"/>
        </w:rPr>
      </w:pPr>
    </w:p>
    <w:p w:rsidR="0087357B" w:rsidRPr="00C46C9B" w:rsidRDefault="00F453FC" w:rsidP="0087357B">
      <w:pPr>
        <w:rPr>
          <w:rFonts w:cs="Arial"/>
          <w:szCs w:val="22"/>
          <w:lang w:bidi="ar-SA"/>
        </w:rPr>
      </w:pPr>
      <w:r w:rsidRPr="00394789">
        <w:rPr>
          <w:rFonts w:cs="Arial"/>
          <w:szCs w:val="22"/>
          <w:lang w:bidi="ar-SA"/>
        </w:rPr>
        <w:t>In an oral acute toxicity study using purified tutin the LD</w:t>
      </w:r>
      <w:r w:rsidRPr="00394789">
        <w:rPr>
          <w:rFonts w:cs="Arial"/>
          <w:szCs w:val="22"/>
          <w:vertAlign w:val="subscript"/>
          <w:lang w:bidi="ar-SA"/>
        </w:rPr>
        <w:t>50</w:t>
      </w:r>
      <w:r w:rsidRPr="00394789">
        <w:rPr>
          <w:rFonts w:cs="Arial"/>
          <w:szCs w:val="22"/>
          <w:lang w:bidi="ar-SA"/>
        </w:rPr>
        <w:t xml:space="preserve"> in non-fasted mice was </w:t>
      </w:r>
      <w:r w:rsidR="000B1561">
        <w:rPr>
          <w:rFonts w:cs="Arial"/>
          <w:szCs w:val="22"/>
          <w:lang w:bidi="ar-SA"/>
        </w:rPr>
        <w:t>4.7 mg/kg bw, while</w:t>
      </w:r>
      <w:r w:rsidRPr="00394789">
        <w:rPr>
          <w:rFonts w:cs="Arial"/>
          <w:szCs w:val="22"/>
          <w:lang w:bidi="ar-SA"/>
        </w:rPr>
        <w:t xml:space="preserve"> </w:t>
      </w:r>
      <w:r w:rsidR="000B1561">
        <w:rPr>
          <w:rFonts w:cs="Arial"/>
          <w:szCs w:val="22"/>
          <w:lang w:bidi="ar-SA"/>
        </w:rPr>
        <w:t>in fasted mice</w:t>
      </w:r>
      <w:r w:rsidR="0087357B" w:rsidRPr="00394789">
        <w:rPr>
          <w:rFonts w:cs="Arial"/>
          <w:szCs w:val="22"/>
          <w:lang w:bidi="ar-SA"/>
        </w:rPr>
        <w:t xml:space="preserve"> the LD</w:t>
      </w:r>
      <w:r w:rsidR="0087357B" w:rsidRPr="00394789">
        <w:rPr>
          <w:rFonts w:cs="Arial"/>
          <w:szCs w:val="22"/>
          <w:vertAlign w:val="subscript"/>
          <w:lang w:bidi="ar-SA"/>
        </w:rPr>
        <w:t>50</w:t>
      </w:r>
      <w:r w:rsidR="0087357B" w:rsidRPr="00394789">
        <w:rPr>
          <w:rFonts w:cs="Arial"/>
          <w:szCs w:val="22"/>
          <w:lang w:bidi="ar-SA"/>
        </w:rPr>
        <w:t xml:space="preserve"> was somewhat lower at </w:t>
      </w:r>
      <w:r w:rsidR="000B1561">
        <w:rPr>
          <w:rFonts w:cs="Arial"/>
          <w:szCs w:val="22"/>
          <w:lang w:bidi="ar-SA"/>
        </w:rPr>
        <w:t>3.2 mg/kg bw</w:t>
      </w:r>
      <w:r w:rsidR="0087357B" w:rsidRPr="00394789">
        <w:rPr>
          <w:rFonts w:cs="Arial"/>
          <w:szCs w:val="22"/>
          <w:lang w:bidi="ar-SA"/>
        </w:rPr>
        <w:t>.</w:t>
      </w:r>
      <w:r w:rsidR="000B1561">
        <w:rPr>
          <w:rFonts w:cs="Arial"/>
          <w:szCs w:val="22"/>
          <w:lang w:bidi="ar-SA"/>
        </w:rPr>
        <w:t xml:space="preserve"> </w:t>
      </w:r>
      <w:r w:rsidR="0087357B">
        <w:rPr>
          <w:rFonts w:cs="Arial"/>
          <w:szCs w:val="22"/>
          <w:lang w:bidi="ar-SA"/>
        </w:rPr>
        <w:t>Non-fasted m</w:t>
      </w:r>
      <w:r w:rsidRPr="00394789">
        <w:rPr>
          <w:rFonts w:cs="Arial"/>
          <w:szCs w:val="22"/>
          <w:lang w:bidi="ar-SA"/>
        </w:rPr>
        <w:t xml:space="preserve">ice receiving </w:t>
      </w:r>
      <w:r w:rsidR="000B1561">
        <w:rPr>
          <w:rFonts w:cs="Arial"/>
          <w:szCs w:val="22"/>
          <w:lang w:bidi="ar-SA"/>
        </w:rPr>
        <w:t xml:space="preserve">a </w:t>
      </w:r>
      <w:r w:rsidRPr="00394789">
        <w:rPr>
          <w:rFonts w:cs="Arial"/>
          <w:szCs w:val="22"/>
          <w:lang w:bidi="ar-SA"/>
        </w:rPr>
        <w:t>tutin dose of 0.25 mg/kg bw (i.e. approximately 20-fold lower than the LD</w:t>
      </w:r>
      <w:r w:rsidRPr="00394789">
        <w:rPr>
          <w:rFonts w:cs="Arial"/>
          <w:szCs w:val="22"/>
          <w:vertAlign w:val="subscript"/>
          <w:lang w:bidi="ar-SA"/>
        </w:rPr>
        <w:t>50</w:t>
      </w:r>
      <w:r w:rsidRPr="00394789">
        <w:rPr>
          <w:rFonts w:cs="Arial"/>
          <w:szCs w:val="22"/>
          <w:lang w:bidi="ar-SA"/>
        </w:rPr>
        <w:t>) showed no clinical signs of toxicity.</w:t>
      </w:r>
      <w:r w:rsidR="00B42434">
        <w:rPr>
          <w:rFonts w:cs="Arial"/>
          <w:szCs w:val="22"/>
          <w:lang w:bidi="ar-SA"/>
        </w:rPr>
        <w:t xml:space="preserve"> This dose was considered an acute no observed adverse effect level (NOAEL).</w:t>
      </w:r>
      <w:r w:rsidRPr="00394789">
        <w:rPr>
          <w:rFonts w:cs="Arial"/>
          <w:szCs w:val="22"/>
          <w:lang w:bidi="ar-SA"/>
        </w:rPr>
        <w:t xml:space="preserve"> The lowest observed adverse effect leve</w:t>
      </w:r>
      <w:r w:rsidR="0087357B">
        <w:rPr>
          <w:rFonts w:cs="Arial"/>
          <w:szCs w:val="22"/>
          <w:lang w:bidi="ar-SA"/>
        </w:rPr>
        <w:t>l (LOAEL) in non-fasted mice</w:t>
      </w:r>
      <w:r w:rsidR="00B42434">
        <w:rPr>
          <w:rFonts w:cs="Arial"/>
          <w:szCs w:val="22"/>
          <w:lang w:bidi="ar-SA"/>
        </w:rPr>
        <w:t xml:space="preserve"> was 0.5 </w:t>
      </w:r>
      <w:r w:rsidRPr="00394789">
        <w:rPr>
          <w:rFonts w:cs="Arial"/>
          <w:szCs w:val="22"/>
          <w:lang w:bidi="ar-SA"/>
        </w:rPr>
        <w:t xml:space="preserve">mg/kg bw. </w:t>
      </w:r>
      <w:r w:rsidR="0087357B" w:rsidRPr="003C4B73">
        <w:rPr>
          <w:rFonts w:eastAsiaTheme="majorEastAsia"/>
          <w:lang w:val="en-AU"/>
        </w:rPr>
        <w:t xml:space="preserve">The New Zealand Food Safety Authority (NZFSA) established an Acute Reference Dose (ARfD) </w:t>
      </w:r>
      <w:r w:rsidR="00AF507F" w:rsidRPr="003C4B73">
        <w:rPr>
          <w:rFonts w:eastAsiaTheme="majorEastAsia"/>
          <w:lang w:val="en-AU"/>
        </w:rPr>
        <w:t xml:space="preserve">for tutin </w:t>
      </w:r>
      <w:r w:rsidR="0087357B" w:rsidRPr="003C4B73">
        <w:rPr>
          <w:rFonts w:eastAsiaTheme="majorEastAsia"/>
          <w:lang w:val="en-AU"/>
        </w:rPr>
        <w:t>of 2.5 </w:t>
      </w:r>
      <w:r w:rsidR="0087357B" w:rsidRPr="003C4B73">
        <w:rPr>
          <w:rFonts w:eastAsiaTheme="majorEastAsia" w:cs="Arial"/>
          <w:lang w:val="en-AU"/>
        </w:rPr>
        <w:t>µ</w:t>
      </w:r>
      <w:r w:rsidR="0087357B" w:rsidRPr="003C4B73">
        <w:rPr>
          <w:rFonts w:eastAsiaTheme="majorEastAsia"/>
          <w:lang w:val="en-AU"/>
        </w:rPr>
        <w:t xml:space="preserve">g/kg bw from the NOAEL </w:t>
      </w:r>
      <w:r w:rsidR="00B274D2" w:rsidRPr="003C4B73">
        <w:rPr>
          <w:rFonts w:eastAsiaTheme="majorEastAsia"/>
          <w:lang w:val="en-AU"/>
        </w:rPr>
        <w:t>of 0.25 </w:t>
      </w:r>
      <w:r w:rsidR="00284649" w:rsidRPr="003C4B73">
        <w:rPr>
          <w:rFonts w:eastAsiaTheme="majorEastAsia"/>
          <w:lang w:val="en-AU"/>
        </w:rPr>
        <w:t xml:space="preserve">mg/kg bw </w:t>
      </w:r>
      <w:r w:rsidR="0087357B" w:rsidRPr="003C4B73">
        <w:rPr>
          <w:rFonts w:eastAsiaTheme="majorEastAsia"/>
          <w:lang w:val="en-AU"/>
        </w:rPr>
        <w:t>with application of a 100-fold uncertainty factor (NZFSA 2008).</w:t>
      </w:r>
    </w:p>
    <w:p w:rsidR="00B42A41" w:rsidRDefault="00B42A41" w:rsidP="00BC5F70">
      <w:pPr>
        <w:rPr>
          <w:rFonts w:cs="Arial"/>
        </w:rPr>
      </w:pPr>
    </w:p>
    <w:p w:rsidR="00834191" w:rsidRDefault="004E30E5" w:rsidP="00BC5F70">
      <w:pPr>
        <w:rPr>
          <w:rFonts w:cs="Arial"/>
        </w:rPr>
      </w:pPr>
      <w:r w:rsidRPr="004E30E5">
        <w:rPr>
          <w:rFonts w:cs="Arial"/>
        </w:rPr>
        <w:t xml:space="preserve">Information on tutin toxicity following repeated dosing was lacking prior to the 2008 incident. In a subsequent study, decreased signs of toxicity were observed in mice administered gavage doses of 1 mg/kg bodyweight/day for 4 or 5 consecutive days compared to those receiving a single dose, or two to three consecutive daily doses, suggesting that tolerance to tutin may develop after repeated oral exposure. </w:t>
      </w:r>
      <w:r>
        <w:rPr>
          <w:rFonts w:cs="Arial"/>
        </w:rPr>
        <w:t>For humans, t</w:t>
      </w:r>
      <w:r w:rsidRPr="004E30E5">
        <w:rPr>
          <w:rFonts w:cs="Arial"/>
        </w:rPr>
        <w:t>here is</w:t>
      </w:r>
      <w:r>
        <w:rPr>
          <w:rFonts w:cs="Arial"/>
        </w:rPr>
        <w:t xml:space="preserve"> no available evidence</w:t>
      </w:r>
      <w:r w:rsidRPr="004E30E5">
        <w:rPr>
          <w:rFonts w:cs="Arial"/>
        </w:rPr>
        <w:t xml:space="preserve"> </w:t>
      </w:r>
      <w:r w:rsidR="002B42BF">
        <w:rPr>
          <w:rFonts w:cs="Arial"/>
        </w:rPr>
        <w:t>indicating</w:t>
      </w:r>
      <w:r w:rsidRPr="004E30E5">
        <w:rPr>
          <w:rFonts w:cs="Arial"/>
        </w:rPr>
        <w:t xml:space="preserve"> that chronic </w:t>
      </w:r>
      <w:r>
        <w:rPr>
          <w:rFonts w:cs="Arial"/>
        </w:rPr>
        <w:t>exposure to</w:t>
      </w:r>
      <w:r w:rsidRPr="004E30E5">
        <w:rPr>
          <w:rFonts w:cs="Arial"/>
        </w:rPr>
        <w:t xml:space="preserve"> tutin </w:t>
      </w:r>
      <w:r>
        <w:rPr>
          <w:rFonts w:cs="Arial"/>
        </w:rPr>
        <w:t xml:space="preserve">from honey consumption </w:t>
      </w:r>
      <w:r w:rsidRPr="004E30E5">
        <w:rPr>
          <w:rFonts w:cs="Arial"/>
        </w:rPr>
        <w:t xml:space="preserve">causes </w:t>
      </w:r>
      <w:r w:rsidR="002B42BF">
        <w:rPr>
          <w:rFonts w:cs="Arial"/>
        </w:rPr>
        <w:t xml:space="preserve">adverse </w:t>
      </w:r>
      <w:r w:rsidRPr="004E30E5">
        <w:rPr>
          <w:rFonts w:cs="Arial"/>
        </w:rPr>
        <w:t xml:space="preserve">effects </w:t>
      </w:r>
      <w:r w:rsidR="00AF084B">
        <w:rPr>
          <w:rFonts w:cs="Arial"/>
        </w:rPr>
        <w:t>other than those consistent with</w:t>
      </w:r>
      <w:r w:rsidRPr="004E30E5">
        <w:rPr>
          <w:rFonts w:cs="Arial"/>
        </w:rPr>
        <w:t xml:space="preserve"> repeated acute toxicity.</w:t>
      </w:r>
    </w:p>
    <w:p w:rsidR="0049663E" w:rsidRDefault="0049663E" w:rsidP="00BC5F70">
      <w:pPr>
        <w:rPr>
          <w:rFonts w:cs="Arial"/>
          <w:szCs w:val="22"/>
          <w:lang w:bidi="ar-SA"/>
        </w:rPr>
      </w:pPr>
    </w:p>
    <w:p w:rsidR="0049663E" w:rsidRPr="0049663E" w:rsidRDefault="0049663E" w:rsidP="0049663E">
      <w:r w:rsidRPr="0049663E">
        <w:t xml:space="preserve">An acute toxicity study in mice gavaged with honey containing tutin and hyenanchin as natural toxicants, or with uncontaminated honey spiked with tutin, resulted in no observed adverse effects, despite a tutin dose (0.79 mg/kg bodyweight) that was greater than the LOAEL of 0.5 mg/kg bodyweight obtained in </w:t>
      </w:r>
      <w:r w:rsidR="00AF507F">
        <w:t>the study above using</w:t>
      </w:r>
      <w:r w:rsidRPr="0049663E">
        <w:t xml:space="preserve"> purified tutin dissolved in water.</w:t>
      </w:r>
      <w:r w:rsidRPr="0049663E">
        <w:rPr>
          <w:rFonts w:cs="Arial"/>
          <w:color w:val="000000"/>
          <w:lang w:bidi="ar-SA"/>
        </w:rPr>
        <w:t xml:space="preserve"> </w:t>
      </w:r>
      <w:r w:rsidRPr="0049663E">
        <w:t>It is possible that the rate of tutin systemic absorption is decreased when administered in a honey matrix. This would result in a lower maximum blood concentration (C</w:t>
      </w:r>
      <w:r w:rsidRPr="0049663E">
        <w:rPr>
          <w:vertAlign w:val="subscript"/>
        </w:rPr>
        <w:t>max</w:t>
      </w:r>
      <w:r w:rsidRPr="0049663E">
        <w:t>) compared to that arising from administration of an aqueous solution of tutin. Because the acute central nervous effects of tutin are likely to be related to C</w:t>
      </w:r>
      <w:r w:rsidRPr="0049663E">
        <w:rPr>
          <w:vertAlign w:val="subscript"/>
        </w:rPr>
        <w:t>max</w:t>
      </w:r>
      <w:r w:rsidRPr="0049663E">
        <w:t xml:space="preserve"> rather than the area under the concentration versus time curve</w:t>
      </w:r>
      <w:r w:rsidR="00652F15">
        <w:t xml:space="preserve"> (AUC)</w:t>
      </w:r>
      <w:r w:rsidRPr="0049663E">
        <w:t>, a reduction in C</w:t>
      </w:r>
      <w:r w:rsidRPr="0049663E">
        <w:rPr>
          <w:vertAlign w:val="subscript"/>
        </w:rPr>
        <w:t>max</w:t>
      </w:r>
      <w:r w:rsidRPr="0049663E">
        <w:t xml:space="preserve"> would result in reduced acute toxicity.</w:t>
      </w:r>
    </w:p>
    <w:p w:rsidR="00BC5F70" w:rsidRPr="00394789" w:rsidRDefault="00BC5F70" w:rsidP="00BC5F70">
      <w:pPr>
        <w:rPr>
          <w:rFonts w:cs="Arial"/>
          <w:szCs w:val="22"/>
          <w:lang w:bidi="ar-SA"/>
        </w:rPr>
      </w:pPr>
    </w:p>
    <w:p w:rsidR="00BC5F70" w:rsidRPr="00394789" w:rsidRDefault="00BC5F70" w:rsidP="00BC5F70">
      <w:pPr>
        <w:rPr>
          <w:rFonts w:cs="Arial"/>
          <w:szCs w:val="22"/>
          <w:lang w:bidi="ar-SA"/>
        </w:rPr>
      </w:pPr>
      <w:r w:rsidRPr="00394789">
        <w:rPr>
          <w:rFonts w:cs="Arial"/>
          <w:szCs w:val="22"/>
          <w:lang w:bidi="ar-SA"/>
        </w:rPr>
        <w:t xml:space="preserve">An </w:t>
      </w:r>
      <w:r w:rsidRPr="00394789">
        <w:rPr>
          <w:rFonts w:cs="Arial"/>
          <w:i/>
          <w:szCs w:val="22"/>
          <w:lang w:bidi="ar-SA"/>
        </w:rPr>
        <w:t>i</w:t>
      </w:r>
      <w:r w:rsidRPr="00394789">
        <w:rPr>
          <w:rFonts w:cs="Arial"/>
          <w:i/>
          <w:iCs/>
          <w:szCs w:val="22"/>
          <w:lang w:bidi="ar-SA"/>
        </w:rPr>
        <w:t xml:space="preserve">n vitro </w:t>
      </w:r>
      <w:r w:rsidRPr="00394789">
        <w:rPr>
          <w:rFonts w:cs="Arial"/>
          <w:szCs w:val="22"/>
          <w:lang w:bidi="ar-SA"/>
        </w:rPr>
        <w:t>mutagenicity study on tutin was negative while hyenanchin gave indications of weak mutagenicity in one of the five bacterial strains tested, however the</w:t>
      </w:r>
      <w:r w:rsidR="000C1990">
        <w:rPr>
          <w:rFonts w:cs="Arial"/>
          <w:szCs w:val="22"/>
          <w:lang w:bidi="ar-SA"/>
        </w:rPr>
        <w:t>re was large</w:t>
      </w:r>
      <w:r w:rsidRPr="00394789">
        <w:rPr>
          <w:rFonts w:cs="Arial"/>
          <w:szCs w:val="22"/>
          <w:lang w:bidi="ar-SA"/>
        </w:rPr>
        <w:t xml:space="preserve"> </w:t>
      </w:r>
      <w:r w:rsidR="005B4F50">
        <w:rPr>
          <w:rFonts w:cs="Arial"/>
          <w:szCs w:val="22"/>
          <w:lang w:bidi="ar-SA"/>
        </w:rPr>
        <w:t xml:space="preserve">variability in the </w:t>
      </w:r>
      <w:r w:rsidR="000C1990">
        <w:rPr>
          <w:rFonts w:cs="Arial"/>
          <w:szCs w:val="22"/>
          <w:lang w:bidi="ar-SA"/>
        </w:rPr>
        <w:t>data</w:t>
      </w:r>
      <w:r w:rsidR="00373BBE">
        <w:rPr>
          <w:rFonts w:cs="Arial"/>
          <w:szCs w:val="22"/>
          <w:lang w:bidi="ar-SA"/>
        </w:rPr>
        <w:t xml:space="preserve"> and the observed differen</w:t>
      </w:r>
      <w:r w:rsidR="00B274D2">
        <w:rPr>
          <w:rFonts w:cs="Arial"/>
          <w:szCs w:val="22"/>
          <w:lang w:bidi="ar-SA"/>
        </w:rPr>
        <w:t>c</w:t>
      </w:r>
      <w:r w:rsidR="00373BBE">
        <w:rPr>
          <w:rFonts w:cs="Arial"/>
          <w:szCs w:val="22"/>
          <w:lang w:bidi="ar-SA"/>
        </w:rPr>
        <w:t>es may not be statistically significant</w:t>
      </w:r>
      <w:r w:rsidRPr="00394789">
        <w:rPr>
          <w:rFonts w:cs="Arial"/>
          <w:szCs w:val="22"/>
          <w:lang w:bidi="ar-SA"/>
        </w:rPr>
        <w:t xml:space="preserve">. A chromosomal aberration study in mice was negative for tutin, hyenanchin and </w:t>
      </w:r>
      <w:r w:rsidR="000C1990">
        <w:rPr>
          <w:rFonts w:cs="Arial"/>
          <w:szCs w:val="22"/>
          <w:lang w:bidi="ar-SA"/>
        </w:rPr>
        <w:t xml:space="preserve">a mixture of hyenanchin and </w:t>
      </w:r>
      <w:r w:rsidRPr="00394789">
        <w:rPr>
          <w:rFonts w:cs="Arial"/>
          <w:szCs w:val="22"/>
          <w:lang w:bidi="ar-SA"/>
        </w:rPr>
        <w:t>dihydrohyenanchin.</w:t>
      </w:r>
    </w:p>
    <w:p w:rsidR="00C841AF" w:rsidRDefault="00C841AF" w:rsidP="0049663E">
      <w:pPr>
        <w:rPr>
          <w:rFonts w:cs="Arial"/>
          <w:bCs/>
          <w:szCs w:val="22"/>
          <w:lang w:bidi="ar-SA"/>
        </w:rPr>
      </w:pPr>
    </w:p>
    <w:p w:rsidR="00680F3A" w:rsidRDefault="00C841AF" w:rsidP="0049663E">
      <w:pPr>
        <w:rPr>
          <w:rFonts w:cs="Arial"/>
        </w:rPr>
      </w:pPr>
      <w:r>
        <w:rPr>
          <w:rFonts w:cs="Arial"/>
          <w:bCs/>
          <w:szCs w:val="22"/>
          <w:lang w:bidi="ar-SA"/>
        </w:rPr>
        <w:t>I</w:t>
      </w:r>
      <w:r w:rsidR="004A34C6">
        <w:t xml:space="preserve">nformation available from </w:t>
      </w:r>
      <w:r w:rsidR="00373BBE">
        <w:t xml:space="preserve">the </w:t>
      </w:r>
      <w:r w:rsidR="004A34C6">
        <w:t xml:space="preserve">animal studies </w:t>
      </w:r>
      <w:r w:rsidR="00373BBE">
        <w:t xml:space="preserve">summarised above </w:t>
      </w:r>
      <w:r w:rsidR="000C1990">
        <w:rPr>
          <w:rFonts w:cs="Arial"/>
        </w:rPr>
        <w:t xml:space="preserve">did not </w:t>
      </w:r>
      <w:r w:rsidR="00C23EAB">
        <w:rPr>
          <w:rFonts w:cs="Arial"/>
        </w:rPr>
        <w:t>provide an understanding of</w:t>
      </w:r>
      <w:r w:rsidR="000C1990">
        <w:rPr>
          <w:rFonts w:cs="Arial"/>
        </w:rPr>
        <w:t xml:space="preserve"> </w:t>
      </w:r>
      <w:r w:rsidR="00C23EAB">
        <w:rPr>
          <w:rFonts w:cs="Arial"/>
        </w:rPr>
        <w:t xml:space="preserve">the highly variable </w:t>
      </w:r>
      <w:r w:rsidR="00373BBE">
        <w:rPr>
          <w:rFonts w:cs="Arial"/>
        </w:rPr>
        <w:t xml:space="preserve">onset time of </w:t>
      </w:r>
      <w:r w:rsidR="00373BBE" w:rsidRPr="004A34C6">
        <w:rPr>
          <w:rFonts w:cs="Arial"/>
        </w:rPr>
        <w:t>clinical signs and symptoms of toxicity</w:t>
      </w:r>
      <w:r w:rsidR="00C23EAB">
        <w:rPr>
          <w:rFonts w:cs="Arial"/>
        </w:rPr>
        <w:t xml:space="preserve"> in humans following honey consumption</w:t>
      </w:r>
      <w:r w:rsidR="00373BBE">
        <w:rPr>
          <w:rFonts w:cs="Arial"/>
        </w:rPr>
        <w:t xml:space="preserve">. </w:t>
      </w:r>
      <w:r w:rsidR="00680F3A">
        <w:rPr>
          <w:rFonts w:cs="Arial"/>
        </w:rPr>
        <w:br w:type="page"/>
      </w:r>
    </w:p>
    <w:p w:rsidR="0049663E" w:rsidRPr="0049663E" w:rsidRDefault="004A34C6" w:rsidP="0049663E">
      <w:r>
        <w:rPr>
          <w:rFonts w:cs="Arial"/>
        </w:rPr>
        <w:lastRenderedPageBreak/>
        <w:t>In the 2008 poisoning incident</w:t>
      </w:r>
      <w:r w:rsidR="00680F3A">
        <w:rPr>
          <w:rFonts w:cs="Arial"/>
        </w:rPr>
        <w:t>,</w:t>
      </w:r>
      <w:r w:rsidRPr="004A34C6">
        <w:rPr>
          <w:rFonts w:cs="Arial"/>
        </w:rPr>
        <w:t xml:space="preserve"> </w:t>
      </w:r>
      <w:r w:rsidR="00C841AF">
        <w:rPr>
          <w:rFonts w:cs="Arial"/>
        </w:rPr>
        <w:t xml:space="preserve">the reported onset time of toxicity for the 11 confirmed cases ranged from </w:t>
      </w:r>
      <w:r w:rsidRPr="004A34C6">
        <w:rPr>
          <w:rFonts w:cs="Arial"/>
        </w:rPr>
        <w:t xml:space="preserve">0.5 to 17 h with a median of </w:t>
      </w:r>
      <w:r w:rsidR="00C841AF">
        <w:rPr>
          <w:rFonts w:cs="Arial"/>
        </w:rPr>
        <w:t>7.5 h.</w:t>
      </w:r>
      <w:r w:rsidR="00C841AF">
        <w:t xml:space="preserve"> </w:t>
      </w:r>
      <w:r w:rsidR="0049663E" w:rsidRPr="0049663E">
        <w:t xml:space="preserve">To investigate the basis of this variability, a pharmacokinetic study was conducted in </w:t>
      </w:r>
      <w:r w:rsidR="00C841AF">
        <w:t xml:space="preserve">2012 in </w:t>
      </w:r>
      <w:r w:rsidR="0049663E" w:rsidRPr="0049663E">
        <w:t>which 6 healthy male volunteers each received a single oral dose of honey containing tutin as a natural toxicant. The tutin dose received by the volunteers (1.8 µg/kg body weight) was equivalent to that received by a high consumer of honey (97.5</w:t>
      </w:r>
      <w:r w:rsidR="0049663E" w:rsidRPr="0049663E">
        <w:rPr>
          <w:vertAlign w:val="superscript"/>
        </w:rPr>
        <w:t>th</w:t>
      </w:r>
      <w:r w:rsidR="0049663E" w:rsidRPr="0049663E">
        <w:t xml:space="preserve"> percentile: 0.9 g honey/kg bodyweight) that contains tutin at the current ML of 2 mg/kg.</w:t>
      </w:r>
    </w:p>
    <w:p w:rsidR="0049663E" w:rsidRPr="0049663E" w:rsidRDefault="0049663E" w:rsidP="0049663E">
      <w:pPr>
        <w:rPr>
          <w:rFonts w:eastAsiaTheme="minorHAnsi" w:cstheme="minorBidi"/>
          <w:szCs w:val="22"/>
          <w:lang w:bidi="ar-SA"/>
        </w:rPr>
      </w:pPr>
    </w:p>
    <w:p w:rsidR="007F0112" w:rsidRDefault="0049663E" w:rsidP="0049663E">
      <w:r w:rsidRPr="0049663E">
        <w:t xml:space="preserve">The serum concentration versus time curve for all volunteers exhibited two discrete peaks, with the first at 0.5 to 1.5 hours post-dose, and the second and higher serum level occurring at 8 to 16 hours post-dose. Transient mild light-headedness was reported by two out of 6 subjects at a time post-dose corresponding to peak 1, while transient mild headache was reported by the same two subjects at approximately peak 2. No other adverse effects were observed in the study, which included monitoring of blood pressure, heart rate, electrocardiogram, clinical chemistry and haematology. There were no associated clinical signs or symptoms typical of tutin intoxication such as nausea, vomiting, dizziness or </w:t>
      </w:r>
      <w:r w:rsidR="00240B4D">
        <w:t>convulsions</w:t>
      </w:r>
      <w:r w:rsidRPr="00D45129">
        <w:t>.</w:t>
      </w:r>
      <w:r w:rsidRPr="007F0112">
        <w:t xml:space="preserve"> </w:t>
      </w:r>
      <w:r w:rsidR="007F0112">
        <w:t>T</w:t>
      </w:r>
      <w:r w:rsidR="007F0112" w:rsidRPr="007F0112">
        <w:t xml:space="preserve">here </w:t>
      </w:r>
      <w:r w:rsidR="007F0112">
        <w:t xml:space="preserve">would be considerable </w:t>
      </w:r>
      <w:r w:rsidR="007F0112" w:rsidRPr="007F0112">
        <w:t xml:space="preserve">uncertainty in extrapolating the </w:t>
      </w:r>
      <w:r w:rsidR="001F0A61">
        <w:t xml:space="preserve">symptoms reported in </w:t>
      </w:r>
      <w:r w:rsidR="007F0112">
        <w:t xml:space="preserve">this </w:t>
      </w:r>
      <w:r w:rsidR="007F0112" w:rsidRPr="007F0112">
        <w:t xml:space="preserve">study to </w:t>
      </w:r>
      <w:r w:rsidR="001F0A61">
        <w:t xml:space="preserve">potential adverse effects in </w:t>
      </w:r>
      <w:r w:rsidR="007F0112" w:rsidRPr="007F0112">
        <w:t xml:space="preserve">an entire population. Considering that a third of the test population in the small scale study were affected it is </w:t>
      </w:r>
      <w:r w:rsidR="007F0112">
        <w:t xml:space="preserve">likely </w:t>
      </w:r>
      <w:r w:rsidR="007F0112" w:rsidRPr="007F0112">
        <w:t xml:space="preserve">that </w:t>
      </w:r>
      <w:r w:rsidR="007F0112">
        <w:t xml:space="preserve">more </w:t>
      </w:r>
      <w:r w:rsidR="007F0112" w:rsidRPr="007F0112">
        <w:t xml:space="preserve">sensitive individuals would be present in the population and </w:t>
      </w:r>
      <w:r w:rsidR="007F0112">
        <w:t>c</w:t>
      </w:r>
      <w:r w:rsidR="007F0112" w:rsidRPr="007F0112">
        <w:t xml:space="preserve">ould experience more severe effects (e.g. nausea, vomiting, dizziness). </w:t>
      </w:r>
    </w:p>
    <w:p w:rsidR="007F0112" w:rsidRDefault="007F0112" w:rsidP="0049663E"/>
    <w:p w:rsidR="0049663E" w:rsidRPr="0049663E" w:rsidRDefault="0049663E" w:rsidP="0049663E">
      <w:r w:rsidRPr="0049663E">
        <w:t xml:space="preserve">It was speculated that peak 1 was due to rapid systemic absorption of tutin while peak 2 was due to tutin released in a delayed and sustained manner from a hitherto unidentified source of additional tutin, such as conjugates of tutin. Subsequent chemical analysis revealed the presence of substantial amounts of various tutin glycosides in the administered honey sample. </w:t>
      </w:r>
    </w:p>
    <w:p w:rsidR="0049663E" w:rsidRPr="0049663E" w:rsidRDefault="0049663E" w:rsidP="0049663E"/>
    <w:p w:rsidR="0049663E" w:rsidRDefault="0049663E" w:rsidP="0049663E">
      <w:r w:rsidRPr="0049663E">
        <w:t>Further analysis of the pharmacokinetic honey sample and 14 other honey samples indicated that (i) four tutin glycosides accounted for the majority of tutin glycosides present in honey, (ii) the ratio of the sum of these four tutin glycosides to tutin</w:t>
      </w:r>
      <w:r w:rsidR="00C41E7A">
        <w:t xml:space="preserve"> aglycone</w:t>
      </w:r>
      <w:r w:rsidRPr="0049663E">
        <w:t xml:space="preserve"> (tutin</w:t>
      </w:r>
      <w:r w:rsidRPr="0049663E">
        <w:rPr>
          <w:sz w:val="4"/>
          <w:szCs w:val="4"/>
          <w:vertAlign w:val="subscript"/>
        </w:rPr>
        <w:t xml:space="preserve"> </w:t>
      </w:r>
      <w:r w:rsidRPr="0049663E">
        <w:rPr>
          <w:vertAlign w:val="subscript"/>
        </w:rPr>
        <w:t>glyc</w:t>
      </w:r>
      <w:r w:rsidRPr="0049663E">
        <w:rPr>
          <w:sz w:val="4"/>
          <w:szCs w:val="4"/>
          <w:vertAlign w:val="subscript"/>
        </w:rPr>
        <w:t xml:space="preserve"> </w:t>
      </w:r>
      <w:r w:rsidRPr="0049663E">
        <w:t>:</w:t>
      </w:r>
      <w:r w:rsidRPr="0049663E">
        <w:rPr>
          <w:sz w:val="4"/>
          <w:szCs w:val="4"/>
          <w:vertAlign w:val="subscript"/>
        </w:rPr>
        <w:t xml:space="preserve"> </w:t>
      </w:r>
      <w:r w:rsidRPr="0049663E">
        <w:t>tutin</w:t>
      </w:r>
      <w:r w:rsidR="00C41E7A">
        <w:rPr>
          <w:vertAlign w:val="subscript"/>
        </w:rPr>
        <w:t>aglyc</w:t>
      </w:r>
      <w:r w:rsidRPr="0049663E">
        <w:t xml:space="preserve">) varied over an approximately 5-fold range, (iii) the ratio showed no apparent association with the tutin </w:t>
      </w:r>
      <w:r w:rsidR="00C41E7A">
        <w:t xml:space="preserve">aglycone </w:t>
      </w:r>
      <w:r w:rsidRPr="0049663E">
        <w:t>level, (iv) the highest tutin</w:t>
      </w:r>
      <w:r w:rsidRPr="0049663E">
        <w:rPr>
          <w:sz w:val="4"/>
          <w:szCs w:val="4"/>
          <w:vertAlign w:val="subscript"/>
        </w:rPr>
        <w:t xml:space="preserve"> </w:t>
      </w:r>
      <w:r w:rsidRPr="0049663E">
        <w:rPr>
          <w:vertAlign w:val="subscript"/>
        </w:rPr>
        <w:t>glyc</w:t>
      </w:r>
      <w:r w:rsidRPr="0049663E">
        <w:rPr>
          <w:sz w:val="4"/>
          <w:szCs w:val="4"/>
          <w:vertAlign w:val="subscript"/>
        </w:rPr>
        <w:t xml:space="preserve"> </w:t>
      </w:r>
      <w:r w:rsidRPr="0049663E">
        <w:t>:</w:t>
      </w:r>
      <w:r w:rsidRPr="0049663E">
        <w:rPr>
          <w:sz w:val="4"/>
          <w:szCs w:val="4"/>
          <w:vertAlign w:val="subscript"/>
        </w:rPr>
        <w:t xml:space="preserve"> </w:t>
      </w:r>
      <w:r w:rsidRPr="0049663E">
        <w:t>tutin</w:t>
      </w:r>
      <w:r w:rsidRPr="0049663E">
        <w:rPr>
          <w:sz w:val="4"/>
          <w:szCs w:val="4"/>
          <w:vertAlign w:val="subscript"/>
        </w:rPr>
        <w:t xml:space="preserve"> </w:t>
      </w:r>
      <w:r w:rsidR="00C41E7A">
        <w:rPr>
          <w:vertAlign w:val="subscript"/>
        </w:rPr>
        <w:t>aglyc</w:t>
      </w:r>
      <w:r w:rsidRPr="0049663E">
        <w:t xml:space="preserve"> ratio was for a honey sample associated with poisoning in 2008, (v) this ratio was 1.7-times greater than the ratio for the pharmacokinetic honey sample, and (vi) honey samples that contained no detectable tutin </w:t>
      </w:r>
      <w:r w:rsidR="00C41E7A">
        <w:t xml:space="preserve">aglycone </w:t>
      </w:r>
      <w:r w:rsidRPr="0049663E">
        <w:t>also contained no detectable tutin glycosides. As there are no analytical standards for the individual tutin glycosides identified in honey, the tutin</w:t>
      </w:r>
      <w:r w:rsidRPr="0049663E">
        <w:rPr>
          <w:sz w:val="4"/>
          <w:szCs w:val="4"/>
          <w:vertAlign w:val="subscript"/>
        </w:rPr>
        <w:t xml:space="preserve"> </w:t>
      </w:r>
      <w:r w:rsidRPr="0049663E">
        <w:rPr>
          <w:vertAlign w:val="subscript"/>
        </w:rPr>
        <w:t>glyc</w:t>
      </w:r>
      <w:r w:rsidRPr="0049663E">
        <w:rPr>
          <w:sz w:val="4"/>
          <w:szCs w:val="4"/>
          <w:vertAlign w:val="subscript"/>
        </w:rPr>
        <w:t xml:space="preserve"> </w:t>
      </w:r>
      <w:r w:rsidRPr="0049663E">
        <w:t>:</w:t>
      </w:r>
      <w:r w:rsidRPr="0049663E">
        <w:rPr>
          <w:sz w:val="4"/>
          <w:szCs w:val="4"/>
          <w:vertAlign w:val="subscript"/>
        </w:rPr>
        <w:t xml:space="preserve"> </w:t>
      </w:r>
      <w:r w:rsidRPr="0049663E">
        <w:t>tutin</w:t>
      </w:r>
      <w:r w:rsidRPr="0049663E">
        <w:rPr>
          <w:sz w:val="4"/>
          <w:szCs w:val="4"/>
          <w:vertAlign w:val="subscript"/>
        </w:rPr>
        <w:t xml:space="preserve"> </w:t>
      </w:r>
      <w:r w:rsidR="00C41E7A">
        <w:rPr>
          <w:vertAlign w:val="subscript"/>
        </w:rPr>
        <w:t>aglyc</w:t>
      </w:r>
      <w:r w:rsidRPr="0049663E">
        <w:t xml:space="preserve"> ratios determined for these honey samples are semi-quantitative only.</w:t>
      </w:r>
    </w:p>
    <w:p w:rsidR="00395B67" w:rsidRDefault="000F12CD" w:rsidP="00DB2603">
      <w:r>
        <w:t xml:space="preserve">If the levels of tutin </w:t>
      </w:r>
      <w:r w:rsidR="006B5F49">
        <w:t xml:space="preserve">glycosides </w:t>
      </w:r>
      <w:r>
        <w:t>in the honey administered in the pharmacokinetic study were quantifiable</w:t>
      </w:r>
      <w:r w:rsidR="00C00470">
        <w:t xml:space="preserve"> </w:t>
      </w:r>
      <w:r w:rsidR="00395B67">
        <w:t xml:space="preserve">it would be possible to set an </w:t>
      </w:r>
      <w:r w:rsidR="00C00470">
        <w:t>Acute Reference Dose (ARfD)</w:t>
      </w:r>
      <w:r w:rsidR="00C51B16">
        <w:t>,</w:t>
      </w:r>
      <w:r w:rsidR="00C00470">
        <w:t xml:space="preserve"> expressed as total tutin equivalents</w:t>
      </w:r>
      <w:r w:rsidR="00C51B16">
        <w:t xml:space="preserve">. </w:t>
      </w:r>
      <w:r w:rsidR="00395B67">
        <w:t xml:space="preserve">However </w:t>
      </w:r>
      <w:r w:rsidR="00395B67" w:rsidRPr="00395B67">
        <w:t xml:space="preserve">no </w:t>
      </w:r>
      <w:r w:rsidR="00395B67">
        <w:t xml:space="preserve">direct or indirect </w:t>
      </w:r>
      <w:r w:rsidR="00395B67" w:rsidRPr="00395B67">
        <w:t>method is currently available for the quantification of tutin glycosides in honey</w:t>
      </w:r>
      <w:r w:rsidR="00137F2A">
        <w:t xml:space="preserve">, therefore </w:t>
      </w:r>
      <w:r w:rsidR="00137F2A" w:rsidRPr="00137F2A">
        <w:t xml:space="preserve">the continued use of an ML based on the level of tutin </w:t>
      </w:r>
      <w:r w:rsidR="007B00C0">
        <w:t xml:space="preserve">aglycone </w:t>
      </w:r>
      <w:r w:rsidR="00137F2A" w:rsidRPr="00137F2A">
        <w:t>is necessary.</w:t>
      </w:r>
      <w:r w:rsidR="00137F2A">
        <w:t xml:space="preserve"> </w:t>
      </w:r>
      <w:r w:rsidR="00C51B16" w:rsidRPr="00344667">
        <w:t xml:space="preserve">The </w:t>
      </w:r>
      <w:r w:rsidR="002C6818" w:rsidRPr="00344667">
        <w:t xml:space="preserve">administered tutin </w:t>
      </w:r>
      <w:r w:rsidR="00C51B16" w:rsidRPr="00344667">
        <w:t xml:space="preserve">dose in the pharmacokinetic study was </w:t>
      </w:r>
      <w:r w:rsidR="002C6818" w:rsidRPr="00344667">
        <w:t>based</w:t>
      </w:r>
      <w:r w:rsidR="00C51B16" w:rsidRPr="00344667">
        <w:t xml:space="preserve"> </w:t>
      </w:r>
      <w:r w:rsidR="002C6818" w:rsidRPr="00344667">
        <w:t xml:space="preserve">on </w:t>
      </w:r>
      <w:r w:rsidR="00C51B16" w:rsidRPr="00344667">
        <w:t>the tutin ML</w:t>
      </w:r>
      <w:r w:rsidR="00B74142" w:rsidRPr="00344667">
        <w:t xml:space="preserve">, and </w:t>
      </w:r>
      <w:r w:rsidR="002C6818" w:rsidRPr="00344667">
        <w:t>a</w:t>
      </w:r>
      <w:r w:rsidR="00904E2E" w:rsidRPr="00344667">
        <w:t>ll</w:t>
      </w:r>
      <w:r w:rsidR="002C6818" w:rsidRPr="00344667">
        <w:t xml:space="preserve"> of </w:t>
      </w:r>
      <w:r w:rsidR="00B74142" w:rsidRPr="00344667">
        <w:t xml:space="preserve">this </w:t>
      </w:r>
      <w:r w:rsidR="002C6818" w:rsidRPr="00344667">
        <w:t xml:space="preserve">unconjugated </w:t>
      </w:r>
      <w:r w:rsidR="00B74142" w:rsidRPr="00344667">
        <w:t xml:space="preserve">tutin </w:t>
      </w:r>
      <w:r w:rsidR="002C6818" w:rsidRPr="00344667">
        <w:t xml:space="preserve">is </w:t>
      </w:r>
      <w:r w:rsidR="008F640D" w:rsidRPr="00344667">
        <w:t>expected</w:t>
      </w:r>
      <w:r w:rsidR="002C6818" w:rsidRPr="00344667">
        <w:t xml:space="preserve"> to be present </w:t>
      </w:r>
      <w:r w:rsidR="00B74142" w:rsidRPr="00344667">
        <w:t>in the first peak in the pharmacokinetic profile</w:t>
      </w:r>
      <w:r w:rsidR="002C6818" w:rsidRPr="00344667">
        <w:t xml:space="preserve">. This peak </w:t>
      </w:r>
      <w:r w:rsidR="00BD6E7E" w:rsidRPr="00344667">
        <w:t xml:space="preserve">tutin </w:t>
      </w:r>
      <w:r w:rsidR="002C6818" w:rsidRPr="00344667">
        <w:t>concentration</w:t>
      </w:r>
      <w:r w:rsidR="00221FA4">
        <w:t>, resulting from the absorption of tutin aglycone present in honey,</w:t>
      </w:r>
      <w:r w:rsidR="00B74142" w:rsidRPr="00344667">
        <w:t xml:space="preserve"> was associated with mild, transient light-headedness in 2 out of 6</w:t>
      </w:r>
      <w:r w:rsidR="00137F2A" w:rsidRPr="00344667">
        <w:t xml:space="preserve"> subjects</w:t>
      </w:r>
      <w:r w:rsidR="00B74142" w:rsidRPr="00344667">
        <w:t xml:space="preserve">. </w:t>
      </w:r>
      <w:r w:rsidR="00137F2A" w:rsidRPr="00344667">
        <w:t xml:space="preserve">This tutin </w:t>
      </w:r>
      <w:r w:rsidR="00A54709" w:rsidRPr="00344667">
        <w:t xml:space="preserve">aglycone </w:t>
      </w:r>
      <w:r w:rsidR="00137F2A" w:rsidRPr="00344667">
        <w:t xml:space="preserve">dose </w:t>
      </w:r>
      <w:r w:rsidR="00395B67" w:rsidRPr="00344667">
        <w:t xml:space="preserve">is </w:t>
      </w:r>
      <w:r w:rsidR="00137F2A" w:rsidRPr="00344667">
        <w:t xml:space="preserve">therefore considered to be </w:t>
      </w:r>
      <w:r w:rsidR="00395B67" w:rsidRPr="00344667">
        <w:t xml:space="preserve">close to a </w:t>
      </w:r>
      <w:r w:rsidR="00642B93" w:rsidRPr="00344667">
        <w:t xml:space="preserve">NOAEL and resulted in a </w:t>
      </w:r>
      <w:r w:rsidR="00552340" w:rsidRPr="00344667">
        <w:t>modelled</w:t>
      </w:r>
      <w:r w:rsidR="00642B93" w:rsidRPr="00344667">
        <w:t xml:space="preserve"> C</w:t>
      </w:r>
      <w:r w:rsidR="00642B93" w:rsidRPr="00344667">
        <w:rPr>
          <w:vertAlign w:val="subscript"/>
        </w:rPr>
        <w:t>max1</w:t>
      </w:r>
      <w:r w:rsidR="00642B93" w:rsidRPr="00344667">
        <w:t xml:space="preserve"> of </w:t>
      </w:r>
      <w:r w:rsidR="00552340" w:rsidRPr="00344667">
        <w:t>2.1</w:t>
      </w:r>
      <w:r w:rsidR="00A54709" w:rsidRPr="00344667">
        <w:t> </w:t>
      </w:r>
      <w:r w:rsidR="00552340" w:rsidRPr="00344667">
        <w:t>ng/mL (Table 2), while the delayed</w:t>
      </w:r>
      <w:r w:rsidR="00642B93" w:rsidRPr="00344667">
        <w:t xml:space="preserve"> C</w:t>
      </w:r>
      <w:r w:rsidR="00642B93" w:rsidRPr="00344667">
        <w:rPr>
          <w:vertAlign w:val="subscript"/>
        </w:rPr>
        <w:t>max2</w:t>
      </w:r>
      <w:r w:rsidR="00642B93" w:rsidRPr="00344667">
        <w:t xml:space="preserve"> </w:t>
      </w:r>
      <w:r w:rsidR="00552340" w:rsidRPr="00344667">
        <w:t>of 3.7</w:t>
      </w:r>
      <w:r w:rsidR="00642B93" w:rsidRPr="00344667">
        <w:t xml:space="preserve"> ng/mL resulted from the release of tutin from tutin glycosides and was associated with mild, transient headache in the same 2 subjects.</w:t>
      </w:r>
    </w:p>
    <w:p w:rsidR="00395B67" w:rsidRDefault="00395B67" w:rsidP="00A26E09"/>
    <w:p w:rsidR="00680F3A" w:rsidRDefault="00680F3A" w:rsidP="00A26E09">
      <w:r>
        <w:br w:type="page"/>
      </w:r>
    </w:p>
    <w:p w:rsidR="007E4857" w:rsidRDefault="00642B93" w:rsidP="00A26E09">
      <w:r w:rsidRPr="00C46C9B">
        <w:lastRenderedPageBreak/>
        <w:t xml:space="preserve">In order to protect consumers from minor adverse effects such as those reported in the pharmacokinetic study, a reduction in the ML by a factor of 3 is proposed. This reduction factor is comprised of a factor of 1.5 to account for the relatively small inter-individual variability in maximum serum levels in the pharmacokinetic study, multiplied by a factor of 2 to account for use of the tutin </w:t>
      </w:r>
      <w:r w:rsidR="00626233">
        <w:t xml:space="preserve">aglycone </w:t>
      </w:r>
      <w:r w:rsidRPr="00C46C9B">
        <w:t xml:space="preserve">level as a surrogate for total tutin equivalents (i.e. tutin + tutin glycosides). </w:t>
      </w:r>
      <w:r w:rsidR="009C76F0">
        <w:t>The factor of 1.5 is a chemical specific adjustment factor for human variability in toxicokinetics (HK</w:t>
      </w:r>
      <w:r w:rsidR="009C76F0" w:rsidRPr="00DC3D9F">
        <w:rPr>
          <w:vertAlign w:val="subscript"/>
        </w:rPr>
        <w:t>AF</w:t>
      </w:r>
      <w:r w:rsidR="009C76F0">
        <w:t>)</w:t>
      </w:r>
      <w:r w:rsidR="004306A6" w:rsidRPr="004306A6">
        <w:t xml:space="preserve"> </w:t>
      </w:r>
      <w:r w:rsidR="004306A6">
        <w:t>(IPCS 2005)</w:t>
      </w:r>
      <w:r w:rsidR="009C76F0">
        <w:t>. This was derived from the variability in C</w:t>
      </w:r>
      <w:r w:rsidR="009C76F0" w:rsidRPr="00DC3D9F">
        <w:rPr>
          <w:vertAlign w:val="subscript"/>
        </w:rPr>
        <w:t>max</w:t>
      </w:r>
      <w:r w:rsidR="009C76F0">
        <w:rPr>
          <w:vertAlign w:val="subscript"/>
        </w:rPr>
        <w:t>2</w:t>
      </w:r>
      <w:r w:rsidR="009C76F0">
        <w:t xml:space="preserve"> values observed in this study. Based on the pharmacokinetic data in Table 1, the standard error (standard deviation of the sample divided by the square root of the sample size) of C</w:t>
      </w:r>
      <w:r w:rsidR="009C76F0" w:rsidRPr="00DC3D9F">
        <w:rPr>
          <w:vertAlign w:val="subscript"/>
        </w:rPr>
        <w:t>max</w:t>
      </w:r>
      <w:r w:rsidR="009C76F0">
        <w:rPr>
          <w:vertAlign w:val="subscript"/>
        </w:rPr>
        <w:t>2</w:t>
      </w:r>
      <w:r w:rsidR="009C76F0">
        <w:t xml:space="preserve"> is only 12% of the mean and is therefore acceptable as a measure of the central tendency. The HK</w:t>
      </w:r>
      <w:r w:rsidR="009C76F0" w:rsidRPr="00DC3D9F">
        <w:rPr>
          <w:vertAlign w:val="subscript"/>
        </w:rPr>
        <w:t>AF</w:t>
      </w:r>
      <w:r w:rsidR="009C76F0">
        <w:t xml:space="preserve"> can therefore be calculated as 1.5 (mean </w:t>
      </w:r>
      <w:r w:rsidR="009C76F0" w:rsidRPr="00945A85">
        <w:t xml:space="preserve">plus two standard deviations divided by </w:t>
      </w:r>
      <w:r w:rsidR="009C76F0">
        <w:t xml:space="preserve">the </w:t>
      </w:r>
      <w:r w:rsidR="009C76F0" w:rsidRPr="00945A85">
        <w:t>mean</w:t>
      </w:r>
      <w:r w:rsidR="009C76F0">
        <w:t xml:space="preserve"> = [4.2 + 2(1.1)] / 4.2 =  6.4 / 4.2 = 1.5). </w:t>
      </w:r>
      <w:r w:rsidR="009C76F0" w:rsidRPr="009C76F0">
        <w:t>The</w:t>
      </w:r>
      <w:r w:rsidRPr="00C46C9B">
        <w:t xml:space="preserve"> factor of 2 </w:t>
      </w:r>
      <w:r w:rsidR="009C76F0">
        <w:t xml:space="preserve">for honey variability </w:t>
      </w:r>
      <w:r w:rsidRPr="00C46C9B">
        <w:t>is obtained by rounding up the value of 1.7 quoted above for the relative ratios of tutin</w:t>
      </w:r>
      <w:r w:rsidRPr="00C46C9B">
        <w:rPr>
          <w:sz w:val="4"/>
          <w:szCs w:val="4"/>
          <w:vertAlign w:val="subscript"/>
        </w:rPr>
        <w:t> </w:t>
      </w:r>
      <w:r w:rsidRPr="00C46C9B">
        <w:rPr>
          <w:vertAlign w:val="subscript"/>
        </w:rPr>
        <w:t xml:space="preserve">glyc </w:t>
      </w:r>
      <w:r w:rsidRPr="00C46C9B">
        <w:t>:</w:t>
      </w:r>
      <w:r w:rsidRPr="00C46C9B">
        <w:rPr>
          <w:vertAlign w:val="subscript"/>
        </w:rPr>
        <w:t xml:space="preserve"> </w:t>
      </w:r>
      <w:r w:rsidRPr="00C46C9B">
        <w:t>tutin</w:t>
      </w:r>
      <w:r w:rsidRPr="00C46C9B">
        <w:rPr>
          <w:sz w:val="4"/>
          <w:szCs w:val="4"/>
          <w:vertAlign w:val="subscript"/>
        </w:rPr>
        <w:t> </w:t>
      </w:r>
      <w:r w:rsidR="00626233">
        <w:rPr>
          <w:vertAlign w:val="subscript"/>
        </w:rPr>
        <w:t>aglyc</w:t>
      </w:r>
      <w:r w:rsidRPr="00C46C9B">
        <w:t xml:space="preserve"> for the honey with the highest observed ratio and the honey administered in the pharmacokinetic study.</w:t>
      </w:r>
      <w:r w:rsidR="00D45710">
        <w:t xml:space="preserve"> </w:t>
      </w:r>
    </w:p>
    <w:p w:rsidR="007E4857" w:rsidRDefault="007E4857" w:rsidP="00A26E09"/>
    <w:p w:rsidR="00BF6C9A" w:rsidRDefault="00DB683A" w:rsidP="00A26E09">
      <w:r>
        <w:t>Application of a</w:t>
      </w:r>
      <w:r w:rsidR="00BF6C9A">
        <w:t>n addi</w:t>
      </w:r>
      <w:r w:rsidR="00A37F6B">
        <w:t>t</w:t>
      </w:r>
      <w:r w:rsidR="00BF6C9A">
        <w:t>i</w:t>
      </w:r>
      <w:r w:rsidR="00A37F6B">
        <w:t>on</w:t>
      </w:r>
      <w:r w:rsidR="00BF6C9A">
        <w:t>a</w:t>
      </w:r>
      <w:r w:rsidR="00A37F6B">
        <w:t xml:space="preserve">l </w:t>
      </w:r>
      <w:r w:rsidR="00920443">
        <w:t xml:space="preserve">uncertainty </w:t>
      </w:r>
      <w:r w:rsidR="00A37F6B">
        <w:t xml:space="preserve">factor to account for the possibility of accumulation of tutin following repeated </w:t>
      </w:r>
      <w:r w:rsidR="00F173F0">
        <w:t xml:space="preserve">(e.g. daily) </w:t>
      </w:r>
      <w:r w:rsidR="00A37F6B">
        <w:t>honey consumption</w:t>
      </w:r>
      <w:r w:rsidR="00BF6C9A">
        <w:t xml:space="preserve"> was considered unnecessary</w:t>
      </w:r>
      <w:r w:rsidR="00E40260">
        <w:t xml:space="preserve"> because t</w:t>
      </w:r>
      <w:r w:rsidR="00B17E30">
        <w:t xml:space="preserve">he </w:t>
      </w:r>
      <w:r>
        <w:t>prolonged</w:t>
      </w:r>
      <w:r w:rsidR="00B17E30">
        <w:t xml:space="preserve"> apparent half-life of tutin in serum observed in the pharmacokinetic study is </w:t>
      </w:r>
      <w:r w:rsidR="00467C08">
        <w:t>consistent with</w:t>
      </w:r>
      <w:r w:rsidR="00B17E30">
        <w:t xml:space="preserve"> </w:t>
      </w:r>
      <w:r w:rsidR="00F173F0">
        <w:t>the</w:t>
      </w:r>
      <w:r w:rsidR="00467C08">
        <w:t xml:space="preserve"> </w:t>
      </w:r>
      <w:r w:rsidR="00B17E30">
        <w:t>slow release of tutin</w:t>
      </w:r>
      <w:r w:rsidR="00BF6C9A">
        <w:t xml:space="preserve"> </w:t>
      </w:r>
      <w:r w:rsidR="00B17E30">
        <w:t>from tutin glycosides in the gastrointestinal tract</w:t>
      </w:r>
      <w:r w:rsidR="00467C08">
        <w:t xml:space="preserve">, </w:t>
      </w:r>
      <w:r>
        <w:t xml:space="preserve">not </w:t>
      </w:r>
      <w:r w:rsidR="00467C08">
        <w:t xml:space="preserve">because of </w:t>
      </w:r>
      <w:r>
        <w:t>intrinsically slow systemic elimination</w:t>
      </w:r>
      <w:r w:rsidR="00467C08">
        <w:t xml:space="preserve"> (“flip-flip” pharmacokinetics)</w:t>
      </w:r>
      <w:r>
        <w:t>.</w:t>
      </w:r>
    </w:p>
    <w:p w:rsidR="00885031" w:rsidRPr="00885031" w:rsidRDefault="00885031" w:rsidP="00BF4138">
      <w:pPr>
        <w:pStyle w:val="Two"/>
      </w:pPr>
      <w:bookmarkStart w:id="37" w:name="_Toc360028612"/>
      <w:bookmarkStart w:id="38" w:name="_Toc401143928"/>
      <w:r>
        <w:t>2</w:t>
      </w:r>
      <w:r w:rsidRPr="00885031">
        <w:t>.4</w:t>
      </w:r>
      <w:r w:rsidRPr="00885031">
        <w:tab/>
        <w:t>Conclusion</w:t>
      </w:r>
      <w:bookmarkEnd w:id="37"/>
      <w:r w:rsidR="00F67C12">
        <w:t>s</w:t>
      </w:r>
      <w:bookmarkEnd w:id="38"/>
    </w:p>
    <w:p w:rsidR="00C24B5A" w:rsidRDefault="00966E81" w:rsidP="00A128B3">
      <w:pPr>
        <w:rPr>
          <w:rFonts w:cs="Arial"/>
        </w:rPr>
      </w:pPr>
      <w:r>
        <w:rPr>
          <w:rFonts w:cs="Arial"/>
        </w:rPr>
        <w:t>Results</w:t>
      </w:r>
      <w:r w:rsidR="00C24B5A" w:rsidRPr="00C24B5A">
        <w:rPr>
          <w:rFonts w:cs="Arial"/>
        </w:rPr>
        <w:t xml:space="preserve"> from studies </w:t>
      </w:r>
      <w:r w:rsidR="00080810">
        <w:rPr>
          <w:rFonts w:cs="Arial"/>
        </w:rPr>
        <w:t>in mice with pur</w:t>
      </w:r>
      <w:r w:rsidR="004C7450">
        <w:rPr>
          <w:rFonts w:cs="Arial"/>
        </w:rPr>
        <w:t>ified tutin</w:t>
      </w:r>
      <w:r w:rsidR="00080810">
        <w:rPr>
          <w:rFonts w:cs="Arial"/>
        </w:rPr>
        <w:t xml:space="preserve"> </w:t>
      </w:r>
      <w:r w:rsidR="00C24B5A" w:rsidRPr="00C24B5A">
        <w:rPr>
          <w:rFonts w:cs="Arial"/>
        </w:rPr>
        <w:t>did not provide an</w:t>
      </w:r>
      <w:r w:rsidR="004C7450">
        <w:rPr>
          <w:rFonts w:cs="Arial"/>
        </w:rPr>
        <w:t xml:space="preserve">y information about </w:t>
      </w:r>
      <w:r w:rsidR="00C24B5A" w:rsidRPr="00C24B5A">
        <w:rPr>
          <w:rFonts w:cs="Arial"/>
        </w:rPr>
        <w:t xml:space="preserve">the highly variable onset time of clinical signs and symptoms of toxicity in humans following </w:t>
      </w:r>
      <w:r w:rsidR="00C73513">
        <w:rPr>
          <w:rFonts w:cs="Arial"/>
        </w:rPr>
        <w:t xml:space="preserve">tutu </w:t>
      </w:r>
      <w:r w:rsidR="004C7450">
        <w:rPr>
          <w:rFonts w:cs="Arial"/>
        </w:rPr>
        <w:t xml:space="preserve">honeydew </w:t>
      </w:r>
      <w:r w:rsidR="00C24B5A" w:rsidRPr="00C24B5A">
        <w:rPr>
          <w:rFonts w:cs="Arial"/>
        </w:rPr>
        <w:t xml:space="preserve">honey consumption. </w:t>
      </w:r>
      <w:r w:rsidR="00F24300">
        <w:rPr>
          <w:rFonts w:cs="Arial"/>
        </w:rPr>
        <w:t>The results of</w:t>
      </w:r>
      <w:r w:rsidR="00C24B5A">
        <w:rPr>
          <w:rFonts w:cs="Arial"/>
        </w:rPr>
        <w:t xml:space="preserve"> a</w:t>
      </w:r>
      <w:r w:rsidR="00F24300">
        <w:rPr>
          <w:rFonts w:cs="Arial"/>
        </w:rPr>
        <w:t xml:space="preserve"> pharmacokinetic study </w:t>
      </w:r>
      <w:r w:rsidR="004C7450">
        <w:rPr>
          <w:rFonts w:cs="Arial"/>
        </w:rPr>
        <w:t xml:space="preserve">in humans </w:t>
      </w:r>
      <w:r w:rsidR="00F24300">
        <w:rPr>
          <w:rFonts w:cs="Arial"/>
        </w:rPr>
        <w:t xml:space="preserve">with </w:t>
      </w:r>
      <w:r w:rsidR="00C73513">
        <w:rPr>
          <w:rFonts w:cs="Arial"/>
        </w:rPr>
        <w:t xml:space="preserve">tutu </w:t>
      </w:r>
      <w:r w:rsidR="004C7450">
        <w:rPr>
          <w:rFonts w:cs="Arial"/>
        </w:rPr>
        <w:t xml:space="preserve">honeydew </w:t>
      </w:r>
      <w:r w:rsidR="00F24300">
        <w:rPr>
          <w:rFonts w:cs="Arial"/>
        </w:rPr>
        <w:t xml:space="preserve">honey led to the </w:t>
      </w:r>
      <w:r w:rsidR="004C7450">
        <w:rPr>
          <w:rFonts w:cs="Arial"/>
        </w:rPr>
        <w:t>conclusion</w:t>
      </w:r>
      <w:r w:rsidR="00F24300">
        <w:rPr>
          <w:rFonts w:cs="Arial"/>
        </w:rPr>
        <w:t xml:space="preserve"> that</w:t>
      </w:r>
      <w:r w:rsidR="002A4761">
        <w:rPr>
          <w:rFonts w:cs="Arial"/>
        </w:rPr>
        <w:t>, in addition to tutin aglycone, the honey contained one or more t</w:t>
      </w:r>
      <w:r w:rsidR="004C7450">
        <w:rPr>
          <w:rFonts w:cs="Arial"/>
        </w:rPr>
        <w:t>utin</w:t>
      </w:r>
      <w:r w:rsidR="00ED24F9">
        <w:rPr>
          <w:rFonts w:cs="Arial"/>
        </w:rPr>
        <w:t xml:space="preserve"> derivative</w:t>
      </w:r>
      <w:r w:rsidR="002A4761">
        <w:rPr>
          <w:rFonts w:cs="Arial"/>
        </w:rPr>
        <w:t>s</w:t>
      </w:r>
      <w:r w:rsidR="00ED24F9">
        <w:rPr>
          <w:rFonts w:cs="Arial"/>
        </w:rPr>
        <w:t xml:space="preserve"> </w:t>
      </w:r>
      <w:r w:rsidR="00866E50">
        <w:rPr>
          <w:rFonts w:cs="Arial"/>
        </w:rPr>
        <w:t>capable of undergoing</w:t>
      </w:r>
      <w:r w:rsidR="002A4761">
        <w:rPr>
          <w:rFonts w:cs="Arial"/>
        </w:rPr>
        <w:t xml:space="preserve"> </w:t>
      </w:r>
      <w:r w:rsidR="00866E50">
        <w:rPr>
          <w:rFonts w:cs="Arial"/>
        </w:rPr>
        <w:t>conversion</w:t>
      </w:r>
      <w:r w:rsidR="00ED24F9">
        <w:rPr>
          <w:rFonts w:cs="Arial"/>
        </w:rPr>
        <w:t xml:space="preserve"> to tutin following ingestion</w:t>
      </w:r>
      <w:r w:rsidR="004C7450">
        <w:rPr>
          <w:rFonts w:cs="Arial"/>
        </w:rPr>
        <w:t xml:space="preserve">. </w:t>
      </w:r>
      <w:r w:rsidR="001125E4">
        <w:rPr>
          <w:rFonts w:cs="Arial"/>
        </w:rPr>
        <w:t xml:space="preserve">It was reasoned that tutin aglycone present in honey was rapidly absorbed following ingestion </w:t>
      </w:r>
      <w:r w:rsidR="00A13390">
        <w:rPr>
          <w:rFonts w:cs="Arial"/>
        </w:rPr>
        <w:t>(peak concentrations 0.5 to</w:t>
      </w:r>
      <w:r w:rsidR="004C7450">
        <w:rPr>
          <w:rFonts w:cs="Arial"/>
        </w:rPr>
        <w:t xml:space="preserve"> 1</w:t>
      </w:r>
      <w:r w:rsidR="00A13390">
        <w:rPr>
          <w:rFonts w:cs="Arial"/>
        </w:rPr>
        <w:t>.5 hours post-dose)</w:t>
      </w:r>
      <w:r w:rsidR="004C7450">
        <w:rPr>
          <w:rFonts w:cs="Arial"/>
        </w:rPr>
        <w:t xml:space="preserve"> followed by delayed </w:t>
      </w:r>
      <w:r w:rsidR="000C6B65">
        <w:rPr>
          <w:rFonts w:cs="Arial"/>
        </w:rPr>
        <w:t xml:space="preserve">absorption of tutin </w:t>
      </w:r>
      <w:r w:rsidR="001125E4">
        <w:rPr>
          <w:rFonts w:cs="Arial"/>
        </w:rPr>
        <w:t xml:space="preserve">liberated </w:t>
      </w:r>
      <w:r w:rsidR="000C6B65">
        <w:rPr>
          <w:rFonts w:cs="Arial"/>
        </w:rPr>
        <w:t xml:space="preserve">from tutin derivatives </w:t>
      </w:r>
      <w:r w:rsidR="001125E4">
        <w:rPr>
          <w:rFonts w:cs="Arial"/>
        </w:rPr>
        <w:t xml:space="preserve">(e.g. conjugates) </w:t>
      </w:r>
      <w:r w:rsidR="004C7450">
        <w:rPr>
          <w:rFonts w:cs="Arial"/>
        </w:rPr>
        <w:t xml:space="preserve">several hours later. </w:t>
      </w:r>
      <w:r w:rsidR="00F24300">
        <w:rPr>
          <w:rFonts w:cs="Arial"/>
        </w:rPr>
        <w:t xml:space="preserve">Subsequent </w:t>
      </w:r>
      <w:r w:rsidR="004C7450">
        <w:rPr>
          <w:rFonts w:cs="Arial"/>
        </w:rPr>
        <w:t xml:space="preserve">studies </w:t>
      </w:r>
      <w:r w:rsidR="004A5078">
        <w:rPr>
          <w:rFonts w:cs="Arial"/>
        </w:rPr>
        <w:t xml:space="preserve">confirmed the presence of several </w:t>
      </w:r>
      <w:r w:rsidR="000F12CD">
        <w:rPr>
          <w:rFonts w:cs="Arial"/>
        </w:rPr>
        <w:t>tutin gly</w:t>
      </w:r>
      <w:r w:rsidR="004A5078">
        <w:rPr>
          <w:rFonts w:cs="Arial"/>
        </w:rPr>
        <w:t>cosides at relatively high levels which provide</w:t>
      </w:r>
      <w:r w:rsidR="00C24B5A">
        <w:rPr>
          <w:rFonts w:cs="Arial"/>
        </w:rPr>
        <w:t>d</w:t>
      </w:r>
      <w:r w:rsidR="00020FD8">
        <w:rPr>
          <w:rFonts w:cs="Arial"/>
        </w:rPr>
        <w:t xml:space="preserve"> a plausible</w:t>
      </w:r>
      <w:r w:rsidR="004A5078">
        <w:rPr>
          <w:rFonts w:cs="Arial"/>
        </w:rPr>
        <w:t xml:space="preserve"> explanation for </w:t>
      </w:r>
      <w:r w:rsidR="00020FD8">
        <w:rPr>
          <w:rFonts w:cs="Arial"/>
        </w:rPr>
        <w:t>the</w:t>
      </w:r>
      <w:r w:rsidR="00C24B5A">
        <w:rPr>
          <w:rFonts w:cs="Arial"/>
        </w:rPr>
        <w:t xml:space="preserve"> large delayed</w:t>
      </w:r>
      <w:r w:rsidR="004A5078">
        <w:rPr>
          <w:rFonts w:cs="Arial"/>
        </w:rPr>
        <w:t xml:space="preserve"> peak in the pharmacokinetic profile</w:t>
      </w:r>
      <w:r w:rsidR="0023175B">
        <w:rPr>
          <w:rFonts w:cs="Arial"/>
        </w:rPr>
        <w:t xml:space="preserve"> and the delayed onset of </w:t>
      </w:r>
      <w:r w:rsidR="00E66F6D">
        <w:rPr>
          <w:rFonts w:cs="Arial"/>
        </w:rPr>
        <w:t>tonic-</w:t>
      </w:r>
      <w:r w:rsidR="0023175B">
        <w:rPr>
          <w:rFonts w:cs="Arial"/>
        </w:rPr>
        <w:t>clonic</w:t>
      </w:r>
      <w:r w:rsidR="00E66F6D">
        <w:rPr>
          <w:rFonts w:cs="Arial"/>
        </w:rPr>
        <w:t xml:space="preserve"> </w:t>
      </w:r>
      <w:r w:rsidR="0023175B">
        <w:rPr>
          <w:rFonts w:cs="Arial"/>
        </w:rPr>
        <w:t xml:space="preserve">convulsions in some individuals who consumed </w:t>
      </w:r>
      <w:r w:rsidR="00C73513">
        <w:rPr>
          <w:rFonts w:cs="Arial"/>
        </w:rPr>
        <w:t xml:space="preserve">tutu </w:t>
      </w:r>
      <w:r w:rsidR="0023175B">
        <w:rPr>
          <w:rFonts w:cs="Arial"/>
        </w:rPr>
        <w:t>honeydew comb honey in the 2008</w:t>
      </w:r>
      <w:r w:rsidR="008C71A5">
        <w:rPr>
          <w:rFonts w:cs="Arial"/>
        </w:rPr>
        <w:t xml:space="preserve"> incident</w:t>
      </w:r>
      <w:r w:rsidR="004A5078">
        <w:rPr>
          <w:rFonts w:cs="Arial"/>
        </w:rPr>
        <w:t xml:space="preserve">. </w:t>
      </w:r>
    </w:p>
    <w:p w:rsidR="00C24B5A" w:rsidRDefault="00C24B5A" w:rsidP="00A128B3">
      <w:pPr>
        <w:rPr>
          <w:rFonts w:cs="Arial"/>
        </w:rPr>
      </w:pPr>
    </w:p>
    <w:p w:rsidR="00C24B5A" w:rsidRPr="00C24B5A" w:rsidRDefault="00C24B5A" w:rsidP="00C24B5A">
      <w:r>
        <w:rPr>
          <w:rFonts w:cs="Arial"/>
        </w:rPr>
        <w:t>N</w:t>
      </w:r>
      <w:r w:rsidRPr="00C24B5A">
        <w:rPr>
          <w:rFonts w:cs="Arial"/>
        </w:rPr>
        <w:t xml:space="preserve">o direct or indirect method is currently available for the quantification of tutin glycosides in honey, therefore the continued use of an ML based on the level of tutin </w:t>
      </w:r>
      <w:r w:rsidR="00473363">
        <w:rPr>
          <w:rFonts w:cs="Arial"/>
        </w:rPr>
        <w:t xml:space="preserve">aglycone </w:t>
      </w:r>
      <w:r w:rsidRPr="00C24B5A">
        <w:rPr>
          <w:rFonts w:cs="Arial"/>
        </w:rPr>
        <w:t>is necessary.</w:t>
      </w:r>
      <w:r w:rsidRPr="00C24B5A">
        <w:t xml:space="preserve"> In order to protect consumers from minor adverse effects such as those reported in the pharmacokinetic study, a reduction in the ML by a factor of 3 is proposed, resulting in a revised ML of 0.7 mg/kg. </w:t>
      </w:r>
    </w:p>
    <w:p w:rsidR="00885031" w:rsidRPr="00885031" w:rsidRDefault="00885031" w:rsidP="00BF4138">
      <w:pPr>
        <w:pStyle w:val="Heading1"/>
      </w:pPr>
      <w:bookmarkStart w:id="39" w:name="_Toc269201837"/>
      <w:bookmarkStart w:id="40" w:name="_Toc360028613"/>
      <w:bookmarkStart w:id="41" w:name="_Toc401143929"/>
      <w:r>
        <w:t>3</w:t>
      </w:r>
      <w:r w:rsidRPr="00885031">
        <w:t>.</w:t>
      </w:r>
      <w:r w:rsidRPr="00885031">
        <w:tab/>
        <w:t>D</w:t>
      </w:r>
      <w:r w:rsidR="00307A70">
        <w:t>ietary</w:t>
      </w:r>
      <w:r w:rsidRPr="00885031">
        <w:t xml:space="preserve"> </w:t>
      </w:r>
      <w:r w:rsidR="00307A70">
        <w:t>exposure</w:t>
      </w:r>
      <w:r w:rsidRPr="00885031">
        <w:t xml:space="preserve"> </w:t>
      </w:r>
      <w:bookmarkEnd w:id="39"/>
      <w:bookmarkEnd w:id="40"/>
      <w:r w:rsidR="00307A70">
        <w:t>assessment</w:t>
      </w:r>
      <w:bookmarkEnd w:id="41"/>
    </w:p>
    <w:p w:rsidR="004A22BB" w:rsidRDefault="0044102D" w:rsidP="00680F3A">
      <w:pPr>
        <w:rPr>
          <w:rFonts w:eastAsiaTheme="majorEastAsia"/>
          <w:lang w:val="en-AU"/>
        </w:rPr>
      </w:pPr>
      <w:bookmarkStart w:id="42" w:name="_Toc120358588"/>
      <w:bookmarkStart w:id="43" w:name="_Toc247509482"/>
      <w:bookmarkStart w:id="44" w:name="_Toc256582703"/>
      <w:bookmarkStart w:id="45" w:name="_Toc269201838"/>
      <w:bookmarkStart w:id="46" w:name="_Toc360028614"/>
      <w:r w:rsidRPr="0044102D">
        <w:rPr>
          <w:rFonts w:eastAsiaTheme="majorEastAsia"/>
          <w:lang w:val="en-AU"/>
        </w:rPr>
        <w:t>Dietary exposure assessments (DEAs) require data on concentrations of the chemical of interest in food and food consumption data.</w:t>
      </w:r>
      <w:r w:rsidR="004A5078">
        <w:rPr>
          <w:rFonts w:eastAsiaTheme="majorEastAsia"/>
          <w:lang w:val="en-AU"/>
        </w:rPr>
        <w:t xml:space="preserve"> </w:t>
      </w:r>
      <w:r w:rsidR="00DC01E7">
        <w:rPr>
          <w:rFonts w:eastAsiaTheme="majorEastAsia"/>
          <w:lang w:val="en-AU"/>
        </w:rPr>
        <w:t xml:space="preserve">No dietary exposure modelling was </w:t>
      </w:r>
      <w:r w:rsidR="00125A3A">
        <w:rPr>
          <w:rFonts w:eastAsiaTheme="majorEastAsia"/>
          <w:lang w:val="en-AU"/>
        </w:rPr>
        <w:t>possible</w:t>
      </w:r>
      <w:r w:rsidR="00DC01E7">
        <w:rPr>
          <w:rFonts w:eastAsiaTheme="majorEastAsia"/>
          <w:lang w:val="en-AU"/>
        </w:rPr>
        <w:t xml:space="preserve"> </w:t>
      </w:r>
      <w:r w:rsidR="00766260">
        <w:rPr>
          <w:rFonts w:eastAsiaTheme="majorEastAsia"/>
          <w:lang w:val="en-AU"/>
        </w:rPr>
        <w:t xml:space="preserve">for this risk assessment </w:t>
      </w:r>
      <w:r w:rsidR="00DC01E7">
        <w:rPr>
          <w:rFonts w:eastAsiaTheme="majorEastAsia"/>
          <w:lang w:val="en-AU"/>
        </w:rPr>
        <w:t xml:space="preserve">because </w:t>
      </w:r>
      <w:r w:rsidR="004A5078">
        <w:rPr>
          <w:rFonts w:eastAsiaTheme="majorEastAsia"/>
          <w:lang w:val="en-AU"/>
        </w:rPr>
        <w:t xml:space="preserve">quantitative </w:t>
      </w:r>
      <w:r w:rsidR="004A22BB">
        <w:rPr>
          <w:rFonts w:eastAsiaTheme="majorEastAsia"/>
          <w:lang w:val="en-AU"/>
        </w:rPr>
        <w:t xml:space="preserve">concentration </w:t>
      </w:r>
      <w:r>
        <w:rPr>
          <w:rFonts w:eastAsiaTheme="majorEastAsia"/>
          <w:lang w:val="en-AU"/>
        </w:rPr>
        <w:t>data are</w:t>
      </w:r>
      <w:r w:rsidR="004A22BB">
        <w:rPr>
          <w:rFonts w:eastAsiaTheme="majorEastAsia"/>
          <w:lang w:val="en-AU"/>
        </w:rPr>
        <w:t xml:space="preserve"> </w:t>
      </w:r>
      <w:r w:rsidR="004A5078">
        <w:rPr>
          <w:rFonts w:eastAsiaTheme="majorEastAsia"/>
          <w:lang w:val="en-AU"/>
        </w:rPr>
        <w:t xml:space="preserve">not </w:t>
      </w:r>
      <w:r w:rsidR="004A22BB">
        <w:rPr>
          <w:rFonts w:eastAsiaTheme="majorEastAsia"/>
          <w:lang w:val="en-AU"/>
        </w:rPr>
        <w:t xml:space="preserve">available for tutin </w:t>
      </w:r>
      <w:r w:rsidR="004A5078">
        <w:rPr>
          <w:rFonts w:eastAsiaTheme="majorEastAsia"/>
          <w:lang w:val="en-AU"/>
        </w:rPr>
        <w:t xml:space="preserve">glycosides </w:t>
      </w:r>
      <w:r w:rsidR="004A22BB">
        <w:rPr>
          <w:rFonts w:eastAsiaTheme="majorEastAsia"/>
          <w:lang w:val="en-AU"/>
        </w:rPr>
        <w:t>in honey</w:t>
      </w:r>
      <w:r w:rsidR="004A5078">
        <w:rPr>
          <w:rFonts w:eastAsiaTheme="majorEastAsia"/>
          <w:lang w:val="en-AU"/>
        </w:rPr>
        <w:t>, and</w:t>
      </w:r>
      <w:r w:rsidR="00125A3A">
        <w:rPr>
          <w:rFonts w:eastAsiaTheme="majorEastAsia"/>
          <w:lang w:val="en-AU"/>
        </w:rPr>
        <w:t>, as indicated by the results of the human pharmacokinetic study,</w:t>
      </w:r>
      <w:r w:rsidR="004A5078">
        <w:rPr>
          <w:rFonts w:eastAsiaTheme="majorEastAsia"/>
          <w:lang w:val="en-AU"/>
        </w:rPr>
        <w:t xml:space="preserve"> </w:t>
      </w:r>
      <w:r w:rsidR="00C42315">
        <w:rPr>
          <w:rFonts w:eastAsiaTheme="majorEastAsia"/>
          <w:lang w:val="en-AU"/>
        </w:rPr>
        <w:t>tutin</w:t>
      </w:r>
      <w:r w:rsidR="004A5078">
        <w:rPr>
          <w:rFonts w:eastAsiaTheme="majorEastAsia"/>
          <w:lang w:val="en-AU"/>
        </w:rPr>
        <w:t xml:space="preserve"> glycosides are the </w:t>
      </w:r>
      <w:r w:rsidR="00C24B5A">
        <w:rPr>
          <w:rFonts w:eastAsiaTheme="majorEastAsia"/>
          <w:lang w:val="en-AU"/>
        </w:rPr>
        <w:t>major</w:t>
      </w:r>
      <w:r w:rsidR="004A5078">
        <w:rPr>
          <w:rFonts w:eastAsiaTheme="majorEastAsia"/>
          <w:lang w:val="en-AU"/>
        </w:rPr>
        <w:t xml:space="preserve"> source of systemic exposure to tutin following consumption of honey</w:t>
      </w:r>
      <w:r w:rsidR="00C42315">
        <w:rPr>
          <w:rFonts w:eastAsiaTheme="majorEastAsia"/>
          <w:lang w:val="en-AU"/>
        </w:rPr>
        <w:t>.</w:t>
      </w:r>
    </w:p>
    <w:p w:rsidR="00EB792C" w:rsidRDefault="00EB792C" w:rsidP="00680F3A">
      <w:pPr>
        <w:rPr>
          <w:rFonts w:eastAsiaTheme="majorEastAsia"/>
          <w:lang w:val="en-AU"/>
        </w:rPr>
      </w:pPr>
    </w:p>
    <w:p w:rsidR="00680F3A" w:rsidRDefault="00680F3A" w:rsidP="00680F3A">
      <w:pPr>
        <w:rPr>
          <w:rFonts w:eastAsiaTheme="majorEastAsia"/>
          <w:lang w:val="en-AU"/>
        </w:rPr>
      </w:pPr>
      <w:r>
        <w:rPr>
          <w:rFonts w:eastAsiaTheme="majorEastAsia"/>
          <w:lang w:val="en-AU"/>
        </w:rPr>
        <w:br w:type="page"/>
      </w:r>
    </w:p>
    <w:p w:rsidR="00442F58" w:rsidRDefault="00026309" w:rsidP="00680F3A">
      <w:pPr>
        <w:rPr>
          <w:rFonts w:eastAsiaTheme="majorEastAsia"/>
          <w:lang w:val="en-AU"/>
        </w:rPr>
      </w:pPr>
      <w:r>
        <w:rPr>
          <w:rFonts w:eastAsiaTheme="majorEastAsia"/>
          <w:lang w:val="en-AU"/>
        </w:rPr>
        <w:lastRenderedPageBreak/>
        <w:t>As discussed in Section 2.2.2</w:t>
      </w:r>
      <w:r w:rsidR="00C24B5A">
        <w:rPr>
          <w:rFonts w:eastAsiaTheme="majorEastAsia"/>
          <w:lang w:val="en-AU"/>
        </w:rPr>
        <w:t xml:space="preserve">, data on </w:t>
      </w:r>
      <w:r w:rsidR="00E105ED">
        <w:rPr>
          <w:rFonts w:eastAsiaTheme="majorEastAsia"/>
          <w:lang w:val="en-AU"/>
        </w:rPr>
        <w:t xml:space="preserve">honey consumption </w:t>
      </w:r>
      <w:r w:rsidR="00C24B5A">
        <w:rPr>
          <w:rFonts w:eastAsiaTheme="majorEastAsia"/>
          <w:lang w:val="en-AU"/>
        </w:rPr>
        <w:t xml:space="preserve">was used along with the </w:t>
      </w:r>
      <w:r w:rsidR="00E105ED">
        <w:rPr>
          <w:rFonts w:eastAsiaTheme="majorEastAsia"/>
          <w:lang w:val="en-AU"/>
        </w:rPr>
        <w:t>current tutin ML of 2 mg/kg to select the tutin dose administered in the human pharmacokinetic study.</w:t>
      </w:r>
      <w:r w:rsidR="00D33924">
        <w:rPr>
          <w:rFonts w:eastAsiaTheme="majorEastAsia"/>
          <w:lang w:val="en-AU"/>
        </w:rPr>
        <w:t xml:space="preserve"> </w:t>
      </w:r>
      <w:r w:rsidR="00F116E8">
        <w:rPr>
          <w:rFonts w:eastAsiaTheme="majorEastAsia"/>
          <w:lang w:val="en-AU"/>
        </w:rPr>
        <w:t>The relevant honey consumption data was obtained from t</w:t>
      </w:r>
      <w:r w:rsidR="00202FE3">
        <w:rPr>
          <w:rFonts w:eastAsiaTheme="majorEastAsia"/>
          <w:lang w:val="en-AU"/>
        </w:rPr>
        <w:t xml:space="preserve">he 1997 New Zealand National Nutrition Survey </w:t>
      </w:r>
      <w:r w:rsidR="00F116E8">
        <w:rPr>
          <w:rFonts w:eastAsiaTheme="majorEastAsia"/>
          <w:lang w:val="en-AU"/>
        </w:rPr>
        <w:t xml:space="preserve">which </w:t>
      </w:r>
      <w:r w:rsidR="00202FE3">
        <w:rPr>
          <w:rFonts w:eastAsiaTheme="majorEastAsia"/>
          <w:lang w:val="en-AU"/>
        </w:rPr>
        <w:t>indicated that 97.5</w:t>
      </w:r>
      <w:r w:rsidR="00202FE3" w:rsidRPr="00C46C9B">
        <w:rPr>
          <w:rFonts w:eastAsiaTheme="majorEastAsia"/>
          <w:vertAlign w:val="superscript"/>
          <w:lang w:val="en-AU"/>
        </w:rPr>
        <w:t>th</w:t>
      </w:r>
      <w:r w:rsidR="00202FE3">
        <w:rPr>
          <w:rFonts w:eastAsiaTheme="majorEastAsia"/>
          <w:lang w:val="en-AU"/>
        </w:rPr>
        <w:t xml:space="preserve"> percentile honey consumption for consumers aged 15 years and above </w:t>
      </w:r>
      <w:r w:rsidR="00F116E8">
        <w:rPr>
          <w:rFonts w:eastAsiaTheme="majorEastAsia"/>
          <w:lang w:val="en-AU"/>
        </w:rPr>
        <w:t>wa</w:t>
      </w:r>
      <w:r w:rsidR="00202FE3">
        <w:rPr>
          <w:rFonts w:eastAsiaTheme="majorEastAsia"/>
          <w:lang w:val="en-AU"/>
        </w:rPr>
        <w:t>s 0.9 g per kg bodyweight</w:t>
      </w:r>
      <w:r w:rsidR="004261C9">
        <w:rPr>
          <w:rFonts w:eastAsiaTheme="majorEastAsia"/>
          <w:lang w:val="en-AU"/>
        </w:rPr>
        <w:t xml:space="preserve"> per day</w:t>
      </w:r>
      <w:r w:rsidR="00202FE3">
        <w:rPr>
          <w:rFonts w:eastAsiaTheme="majorEastAsia"/>
          <w:lang w:val="en-AU"/>
        </w:rPr>
        <w:t>.</w:t>
      </w:r>
      <w:r w:rsidR="0089232C">
        <w:rPr>
          <w:rStyle w:val="FootnoteReference"/>
          <w:rFonts w:eastAsiaTheme="majorEastAsia" w:cs="Arial"/>
          <w:bCs/>
          <w:szCs w:val="22"/>
          <w:lang w:val="en-AU"/>
        </w:rPr>
        <w:footnoteReference w:id="6"/>
      </w:r>
      <w:r w:rsidR="007E4857" w:rsidRPr="007E4857">
        <w:rPr>
          <w:color w:val="000000"/>
        </w:rPr>
        <w:t xml:space="preserve"> </w:t>
      </w:r>
      <w:r w:rsidR="007E4857" w:rsidRPr="007E4857">
        <w:rPr>
          <w:rFonts w:eastAsiaTheme="majorEastAsia"/>
        </w:rPr>
        <w:t xml:space="preserve">Survey data </w:t>
      </w:r>
      <w:r w:rsidR="007E4857">
        <w:rPr>
          <w:rFonts w:eastAsiaTheme="majorEastAsia"/>
        </w:rPr>
        <w:t xml:space="preserve">from 2002 </w:t>
      </w:r>
      <w:r w:rsidR="007E4857" w:rsidRPr="007E4857">
        <w:rPr>
          <w:rFonts w:eastAsiaTheme="majorEastAsia"/>
        </w:rPr>
        <w:t>indicate that New Zealand children (5 to 8 years of age) who are high consumers (97.5</w:t>
      </w:r>
      <w:r w:rsidR="007E4857" w:rsidRPr="007E4857">
        <w:rPr>
          <w:rFonts w:eastAsiaTheme="majorEastAsia"/>
          <w:vertAlign w:val="superscript"/>
        </w:rPr>
        <w:t>th</w:t>
      </w:r>
      <w:r w:rsidR="007E4857" w:rsidRPr="007E4857">
        <w:rPr>
          <w:rFonts w:eastAsiaTheme="majorEastAsia"/>
        </w:rPr>
        <w:t>-percentile) of honey consume less honey than high consuming adults on an absolute basis (46 g/day compared to 66 g/day) but more on a bodyweight relative basis (2.2 g versus 0.9 g per kg bodyweight</w:t>
      </w:r>
      <w:r w:rsidR="007E4857">
        <w:rPr>
          <w:rFonts w:eastAsiaTheme="majorEastAsia"/>
        </w:rPr>
        <w:t xml:space="preserve"> per day</w:t>
      </w:r>
      <w:r w:rsidR="007E4857" w:rsidRPr="007E4857">
        <w:rPr>
          <w:rFonts w:eastAsiaTheme="majorEastAsia"/>
        </w:rPr>
        <w:t xml:space="preserve">). </w:t>
      </w:r>
    </w:p>
    <w:p w:rsidR="00885031" w:rsidRPr="00885031" w:rsidRDefault="00885031" w:rsidP="00BF4138">
      <w:pPr>
        <w:pStyle w:val="Heading1"/>
      </w:pPr>
      <w:bookmarkStart w:id="47" w:name="_Toc360028628"/>
      <w:bookmarkStart w:id="48" w:name="_Toc401143930"/>
      <w:bookmarkEnd w:id="42"/>
      <w:bookmarkEnd w:id="43"/>
      <w:bookmarkEnd w:id="44"/>
      <w:bookmarkEnd w:id="45"/>
      <w:bookmarkEnd w:id="46"/>
      <w:r>
        <w:t>4</w:t>
      </w:r>
      <w:r w:rsidRPr="00885031">
        <w:t>.</w:t>
      </w:r>
      <w:r w:rsidRPr="00885031">
        <w:tab/>
        <w:t>R</w:t>
      </w:r>
      <w:r w:rsidR="00307A70">
        <w:t>isk</w:t>
      </w:r>
      <w:r w:rsidRPr="00885031">
        <w:t xml:space="preserve"> </w:t>
      </w:r>
      <w:bookmarkEnd w:id="47"/>
      <w:r w:rsidR="00307A70">
        <w:t>characterisation</w:t>
      </w:r>
      <w:bookmarkEnd w:id="48"/>
    </w:p>
    <w:p w:rsidR="00AF507F" w:rsidRPr="0049663E" w:rsidRDefault="00AF507F" w:rsidP="00AF507F">
      <w:r w:rsidRPr="0049663E">
        <w:t xml:space="preserve">Based on the results of the human pharmacokinetic study, it is considered possible that adverse </w:t>
      </w:r>
      <w:r w:rsidR="002B66F7">
        <w:t xml:space="preserve">neurological </w:t>
      </w:r>
      <w:r w:rsidRPr="0049663E">
        <w:t xml:space="preserve">effects may be experienced following the consumption of honey containing tutin at the current ML of 2 mg/kg. Such adverse effects are more likely if a large amount of honey (≥0.9 g of honey per kg bodyweight) is consumed </w:t>
      </w:r>
      <w:r w:rsidR="00EA41FC">
        <w:t>in one sitting</w:t>
      </w:r>
      <w:r w:rsidR="002B66F7">
        <w:t xml:space="preserve"> by an individual who is able to efficiently convert </w:t>
      </w:r>
      <w:r w:rsidR="00010D22">
        <w:t>the tutin glycosides in honey into tutin</w:t>
      </w:r>
      <w:r w:rsidRPr="0049663E">
        <w:t>. The risk of adverse effects is increased if the ingested honey has a ratio of tutin</w:t>
      </w:r>
      <w:r w:rsidRPr="0049663E">
        <w:rPr>
          <w:sz w:val="4"/>
          <w:szCs w:val="4"/>
          <w:vertAlign w:val="subscript"/>
        </w:rPr>
        <w:t xml:space="preserve"> </w:t>
      </w:r>
      <w:r w:rsidRPr="0049663E">
        <w:rPr>
          <w:vertAlign w:val="subscript"/>
        </w:rPr>
        <w:t>glyc</w:t>
      </w:r>
      <w:r w:rsidRPr="0049663E">
        <w:rPr>
          <w:sz w:val="4"/>
          <w:szCs w:val="4"/>
          <w:vertAlign w:val="subscript"/>
        </w:rPr>
        <w:t xml:space="preserve"> </w:t>
      </w:r>
      <w:r w:rsidRPr="0049663E">
        <w:t>:</w:t>
      </w:r>
      <w:r w:rsidRPr="0049663E">
        <w:rPr>
          <w:sz w:val="4"/>
          <w:szCs w:val="4"/>
          <w:vertAlign w:val="subscript"/>
        </w:rPr>
        <w:t xml:space="preserve"> </w:t>
      </w:r>
      <w:r w:rsidRPr="0049663E">
        <w:t>tutin</w:t>
      </w:r>
      <w:r w:rsidRPr="0049663E">
        <w:rPr>
          <w:sz w:val="4"/>
          <w:szCs w:val="4"/>
          <w:vertAlign w:val="subscript"/>
        </w:rPr>
        <w:t xml:space="preserve"> </w:t>
      </w:r>
      <w:r w:rsidR="00473363">
        <w:rPr>
          <w:vertAlign w:val="subscript"/>
        </w:rPr>
        <w:t>aglyc</w:t>
      </w:r>
      <w:r w:rsidRPr="0049663E">
        <w:t xml:space="preserve"> at the high end of the observed range. </w:t>
      </w:r>
    </w:p>
    <w:p w:rsidR="00AF507F" w:rsidRPr="0049663E" w:rsidRDefault="00AF507F" w:rsidP="00AF507F"/>
    <w:p w:rsidR="00AF507F" w:rsidRPr="0049663E" w:rsidRDefault="00AF507F" w:rsidP="00AF507F">
      <w:r w:rsidRPr="0049663E">
        <w:t xml:space="preserve">As no method is currently available for the quantification of tutin glycosides in honey, the continued use of an ML based on the level of tutin </w:t>
      </w:r>
      <w:r w:rsidR="00473363">
        <w:t xml:space="preserve">aglycone </w:t>
      </w:r>
      <w:r w:rsidRPr="0049663E">
        <w:t xml:space="preserve">is necessary. In order to protect consumers from adverse effects such as those reported in the pharmacokinetic study, a reduction in the ML by a factor of 3 is proposed. This reduction factor is comprised of a factor of 1.5 to account for the relatively small inter-individual variability observed in the pharmacokinetic study, multiplied by a factor of 2 to account for use of the tutin </w:t>
      </w:r>
      <w:r w:rsidR="00473363">
        <w:t xml:space="preserve">aglycone </w:t>
      </w:r>
      <w:r w:rsidRPr="0049663E">
        <w:t xml:space="preserve">level as a surrogate for total tutin equivalents (i.e. tutin </w:t>
      </w:r>
      <w:r w:rsidR="00473363">
        <w:t xml:space="preserve">aglycone </w:t>
      </w:r>
      <w:r w:rsidRPr="0049663E">
        <w:t>+ tutin glycosides). This factor of 2 is obtained by rounding up the value of 1.7 quoted above for the relative ratios of tutin</w:t>
      </w:r>
      <w:r w:rsidRPr="0049663E">
        <w:rPr>
          <w:sz w:val="4"/>
          <w:szCs w:val="4"/>
          <w:vertAlign w:val="subscript"/>
        </w:rPr>
        <w:t> </w:t>
      </w:r>
      <w:r w:rsidRPr="0049663E">
        <w:rPr>
          <w:vertAlign w:val="subscript"/>
        </w:rPr>
        <w:t xml:space="preserve">glyc </w:t>
      </w:r>
      <w:r w:rsidRPr="0049663E">
        <w:t>:</w:t>
      </w:r>
      <w:r w:rsidRPr="0049663E">
        <w:rPr>
          <w:vertAlign w:val="subscript"/>
        </w:rPr>
        <w:t xml:space="preserve"> </w:t>
      </w:r>
      <w:r w:rsidRPr="0049663E">
        <w:t>tutin</w:t>
      </w:r>
      <w:r w:rsidRPr="0049663E">
        <w:rPr>
          <w:sz w:val="4"/>
          <w:szCs w:val="4"/>
          <w:vertAlign w:val="subscript"/>
        </w:rPr>
        <w:t> </w:t>
      </w:r>
      <w:r w:rsidR="00473363">
        <w:rPr>
          <w:vertAlign w:val="subscript"/>
        </w:rPr>
        <w:t>aglyc</w:t>
      </w:r>
      <w:r w:rsidRPr="0049663E">
        <w:t xml:space="preserve"> for the honey with the highest observed ratio and the honey administered in the pharmacokinetic study.</w:t>
      </w:r>
    </w:p>
    <w:p w:rsidR="00BB47BB" w:rsidRDefault="00BB47BB" w:rsidP="00A128B3">
      <w:pPr>
        <w:rPr>
          <w:rFonts w:cs="Arial"/>
          <w:szCs w:val="22"/>
          <w:lang w:bidi="ar-SA"/>
        </w:rPr>
      </w:pPr>
    </w:p>
    <w:p w:rsidR="00A128B3" w:rsidRDefault="005563A6" w:rsidP="00A128B3">
      <w:pPr>
        <w:rPr>
          <w:rFonts w:cs="Arial"/>
          <w:szCs w:val="22"/>
          <w:lang w:bidi="ar-SA"/>
        </w:rPr>
      </w:pPr>
      <w:r>
        <w:rPr>
          <w:rFonts w:cs="Arial"/>
          <w:szCs w:val="22"/>
          <w:lang w:bidi="ar-SA"/>
        </w:rPr>
        <w:t>A r</w:t>
      </w:r>
      <w:r w:rsidR="00BB47BB" w:rsidRPr="00C46C9B">
        <w:rPr>
          <w:rFonts w:cs="Arial"/>
          <w:szCs w:val="22"/>
          <w:lang w:bidi="ar-SA"/>
        </w:rPr>
        <w:t xml:space="preserve">isk </w:t>
      </w:r>
      <w:r w:rsidR="00E01502">
        <w:rPr>
          <w:rFonts w:cs="Arial"/>
          <w:szCs w:val="22"/>
          <w:lang w:bidi="ar-SA"/>
        </w:rPr>
        <w:t xml:space="preserve">characterisation </w:t>
      </w:r>
      <w:r w:rsidR="00BB47BB">
        <w:rPr>
          <w:rFonts w:cs="Arial"/>
          <w:szCs w:val="22"/>
          <w:lang w:bidi="ar-SA"/>
        </w:rPr>
        <w:t xml:space="preserve">for </w:t>
      </w:r>
      <w:r w:rsidR="00BB47BB" w:rsidRPr="00C46C9B">
        <w:rPr>
          <w:rFonts w:cs="Arial"/>
          <w:szCs w:val="22"/>
          <w:lang w:bidi="ar-SA"/>
        </w:rPr>
        <w:t xml:space="preserve">comb honey is </w:t>
      </w:r>
      <w:r>
        <w:rPr>
          <w:rFonts w:cs="Arial"/>
          <w:szCs w:val="22"/>
          <w:lang w:bidi="ar-SA"/>
        </w:rPr>
        <w:t xml:space="preserve">not possible </w:t>
      </w:r>
      <w:r w:rsidR="00BB47BB" w:rsidRPr="00C46C9B">
        <w:rPr>
          <w:rFonts w:cs="Arial"/>
          <w:szCs w:val="22"/>
          <w:lang w:bidi="ar-SA"/>
        </w:rPr>
        <w:t xml:space="preserve">because there are insufficient </w:t>
      </w:r>
      <w:r>
        <w:rPr>
          <w:rFonts w:cs="Arial"/>
          <w:szCs w:val="22"/>
          <w:lang w:bidi="ar-SA"/>
        </w:rPr>
        <w:t xml:space="preserve">suitable </w:t>
      </w:r>
      <w:r w:rsidR="00BB47BB" w:rsidRPr="00C46C9B">
        <w:rPr>
          <w:rFonts w:cs="Arial"/>
          <w:szCs w:val="22"/>
          <w:lang w:bidi="ar-SA"/>
        </w:rPr>
        <w:t>data on the variability of tutin levels across combs. It is conceivable that the tutin level in honey sampled from a specific portion of comb could differ markedly from the tutin level in another part of the comb. Similarly, the tutin level determined for a hive “drip” sample may differ markedly from that determined in a portion of comb taken from that hive.</w:t>
      </w:r>
    </w:p>
    <w:p w:rsidR="00885031" w:rsidRPr="00885031" w:rsidRDefault="00885031" w:rsidP="00BF4138">
      <w:pPr>
        <w:pStyle w:val="Heading1"/>
      </w:pPr>
      <w:bookmarkStart w:id="49" w:name="_Toc360028632"/>
      <w:bookmarkStart w:id="50" w:name="_Toc401143931"/>
      <w:r>
        <w:t>5</w:t>
      </w:r>
      <w:r w:rsidRPr="00885031">
        <w:t>.</w:t>
      </w:r>
      <w:r w:rsidRPr="00885031">
        <w:tab/>
        <w:t>R</w:t>
      </w:r>
      <w:r w:rsidR="00307A70">
        <w:t>isk assessment conclusions</w:t>
      </w:r>
      <w:bookmarkEnd w:id="49"/>
      <w:bookmarkEnd w:id="50"/>
    </w:p>
    <w:p w:rsidR="00885031" w:rsidRPr="00885031" w:rsidRDefault="00885031" w:rsidP="00885031">
      <w:r w:rsidRPr="00885031">
        <w:t xml:space="preserve">This assessment evaluated </w:t>
      </w:r>
      <w:r w:rsidR="00833728">
        <w:t xml:space="preserve">data relevant to the risk of consuming honey containing tutin and related substances. Specific consideration was given to the risk posed by </w:t>
      </w:r>
      <w:r w:rsidR="002B4D8C">
        <w:t xml:space="preserve">the </w:t>
      </w:r>
      <w:r w:rsidR="00833728">
        <w:t xml:space="preserve">consumption of honey and comb </w:t>
      </w:r>
      <w:r w:rsidR="00FC66D6">
        <w:t xml:space="preserve">honey </w:t>
      </w:r>
      <w:r w:rsidR="00833728">
        <w:t xml:space="preserve">containing tutin at </w:t>
      </w:r>
      <w:r w:rsidR="00FC66D6">
        <w:t xml:space="preserve">the current </w:t>
      </w:r>
      <w:r w:rsidR="00833728">
        <w:t>MLs of 2 and 0.1 mg/kg</w:t>
      </w:r>
      <w:r w:rsidR="00FC66D6">
        <w:t>,</w:t>
      </w:r>
      <w:r w:rsidR="00FC66D6" w:rsidRPr="00FC66D6">
        <w:t xml:space="preserve"> </w:t>
      </w:r>
      <w:r w:rsidR="00FC66D6">
        <w:t>respectively</w:t>
      </w:r>
      <w:r w:rsidR="00833728">
        <w:t xml:space="preserve">. </w:t>
      </w:r>
    </w:p>
    <w:p w:rsidR="00680F3A" w:rsidRDefault="00680F3A" w:rsidP="00BF4138">
      <w:pPr>
        <w:pStyle w:val="Two"/>
      </w:pPr>
      <w:bookmarkStart w:id="51" w:name="_Toc360028633"/>
      <w:bookmarkStart w:id="52" w:name="_Toc401143932"/>
      <w:r>
        <w:br w:type="page"/>
      </w:r>
    </w:p>
    <w:p w:rsidR="00885031" w:rsidRPr="00F02AC1" w:rsidRDefault="00885031" w:rsidP="00BF4138">
      <w:pPr>
        <w:pStyle w:val="Two"/>
      </w:pPr>
      <w:r w:rsidRPr="00F02AC1">
        <w:lastRenderedPageBreak/>
        <w:t>5.1</w:t>
      </w:r>
      <w:r w:rsidRPr="00F02AC1">
        <w:tab/>
        <w:t xml:space="preserve">Responses to </w:t>
      </w:r>
      <w:r w:rsidR="00307A70">
        <w:t>r</w:t>
      </w:r>
      <w:r w:rsidRPr="00F02AC1">
        <w:t xml:space="preserve">isk </w:t>
      </w:r>
      <w:r w:rsidR="00307A70">
        <w:t>a</w:t>
      </w:r>
      <w:r w:rsidRPr="00F02AC1">
        <w:t xml:space="preserve">ssessment </w:t>
      </w:r>
      <w:r w:rsidR="00307A70">
        <w:t>q</w:t>
      </w:r>
      <w:r w:rsidRPr="00F02AC1">
        <w:t>uestions</w:t>
      </w:r>
      <w:bookmarkEnd w:id="51"/>
      <w:bookmarkEnd w:id="52"/>
    </w:p>
    <w:p w:rsidR="00885031" w:rsidRPr="00885031" w:rsidRDefault="00885031" w:rsidP="00885031">
      <w:pPr>
        <w:ind w:left="567" w:hanging="567"/>
        <w:rPr>
          <w:rFonts w:cs="Arial"/>
          <w:b/>
          <w:i/>
        </w:rPr>
      </w:pPr>
      <w:r w:rsidRPr="00885031">
        <w:rPr>
          <w:rFonts w:cs="Arial"/>
          <w:b/>
          <w:i/>
        </w:rPr>
        <w:t>1.</w:t>
      </w:r>
      <w:r w:rsidRPr="00885031">
        <w:rPr>
          <w:rFonts w:cs="Arial"/>
          <w:b/>
          <w:i/>
        </w:rPr>
        <w:tab/>
      </w:r>
      <w:r w:rsidR="00C662D9">
        <w:rPr>
          <w:rFonts w:cs="Arial"/>
          <w:b/>
          <w:i/>
        </w:rPr>
        <w:t xml:space="preserve">Why do </w:t>
      </w:r>
      <w:r w:rsidR="002C46ED">
        <w:rPr>
          <w:rFonts w:cs="Arial"/>
          <w:b/>
          <w:i/>
        </w:rPr>
        <w:t xml:space="preserve">some </w:t>
      </w:r>
      <w:r w:rsidR="00C662D9">
        <w:rPr>
          <w:rFonts w:cs="Arial"/>
          <w:b/>
          <w:i/>
        </w:rPr>
        <w:t>consumers of toxic honeydew honey experience delayed onset of clinical signs and symptoms?</w:t>
      </w:r>
    </w:p>
    <w:p w:rsidR="00885031" w:rsidRPr="00885031" w:rsidRDefault="00885031" w:rsidP="00885031">
      <w:pPr>
        <w:rPr>
          <w:rFonts w:cs="Arial"/>
        </w:rPr>
      </w:pPr>
    </w:p>
    <w:tbl>
      <w:tblPr>
        <w:tblStyle w:val="TableGrid1"/>
        <w:tblW w:w="0" w:type="auto"/>
        <w:tblInd w:w="108" w:type="dxa"/>
        <w:tblLook w:val="04A0" w:firstRow="1" w:lastRow="0" w:firstColumn="1" w:lastColumn="0" w:noHBand="0" w:noVBand="1"/>
      </w:tblPr>
      <w:tblGrid>
        <w:gridCol w:w="2410"/>
        <w:gridCol w:w="6724"/>
      </w:tblGrid>
      <w:tr w:rsidR="00885031" w:rsidRPr="00885031" w:rsidTr="00257559">
        <w:trPr>
          <w:trHeight w:val="383"/>
        </w:trPr>
        <w:tc>
          <w:tcPr>
            <w:tcW w:w="2410" w:type="dxa"/>
            <w:shd w:val="clear" w:color="auto" w:fill="EEECE1" w:themeFill="background2"/>
            <w:vAlign w:val="center"/>
          </w:tcPr>
          <w:p w:rsidR="00885031" w:rsidRPr="00885031" w:rsidRDefault="00885031" w:rsidP="00885031">
            <w:pPr>
              <w:jc w:val="center"/>
              <w:rPr>
                <w:rFonts w:cs="Arial"/>
                <w:b/>
                <w:i/>
              </w:rPr>
            </w:pPr>
            <w:r w:rsidRPr="00885031">
              <w:rPr>
                <w:rFonts w:cs="Arial"/>
                <w:b/>
                <w:i/>
              </w:rPr>
              <w:t>Section of report</w:t>
            </w:r>
          </w:p>
        </w:tc>
        <w:tc>
          <w:tcPr>
            <w:tcW w:w="6724" w:type="dxa"/>
            <w:shd w:val="clear" w:color="auto" w:fill="EEECE1" w:themeFill="background2"/>
            <w:vAlign w:val="center"/>
          </w:tcPr>
          <w:p w:rsidR="00885031" w:rsidRPr="00885031" w:rsidRDefault="00885031" w:rsidP="00885031">
            <w:pPr>
              <w:jc w:val="center"/>
              <w:rPr>
                <w:rFonts w:cs="Arial"/>
                <w:b/>
                <w:i/>
              </w:rPr>
            </w:pPr>
            <w:r w:rsidRPr="00885031">
              <w:rPr>
                <w:rFonts w:cs="Arial"/>
                <w:b/>
                <w:i/>
              </w:rPr>
              <w:t>Summary response/conclusion</w:t>
            </w:r>
          </w:p>
        </w:tc>
      </w:tr>
      <w:tr w:rsidR="00885031" w:rsidRPr="00885031" w:rsidTr="005323EF">
        <w:trPr>
          <w:trHeight w:val="1267"/>
        </w:trPr>
        <w:tc>
          <w:tcPr>
            <w:tcW w:w="2410" w:type="dxa"/>
            <w:vAlign w:val="center"/>
          </w:tcPr>
          <w:p w:rsidR="00885031" w:rsidRPr="00885031" w:rsidRDefault="00885031" w:rsidP="00885031">
            <w:pPr>
              <w:rPr>
                <w:rFonts w:cs="Arial"/>
              </w:rPr>
            </w:pPr>
            <w:r w:rsidRPr="00885031">
              <w:rPr>
                <w:rFonts w:cs="Arial"/>
              </w:rPr>
              <w:t>Section</w:t>
            </w:r>
            <w:r w:rsidR="00B30CA8">
              <w:rPr>
                <w:rFonts w:cs="Arial"/>
              </w:rPr>
              <w:t>s</w:t>
            </w:r>
            <w:r w:rsidRPr="00885031">
              <w:rPr>
                <w:rFonts w:cs="Arial"/>
              </w:rPr>
              <w:t xml:space="preserve"> </w:t>
            </w:r>
            <w:r w:rsidR="00B30CA8">
              <w:rPr>
                <w:rFonts w:cs="Arial"/>
              </w:rPr>
              <w:t xml:space="preserve">2 and </w:t>
            </w:r>
            <w:r w:rsidR="00A5521B">
              <w:rPr>
                <w:rFonts w:cs="Arial"/>
              </w:rPr>
              <w:t>4</w:t>
            </w:r>
          </w:p>
        </w:tc>
        <w:tc>
          <w:tcPr>
            <w:tcW w:w="6724" w:type="dxa"/>
            <w:vAlign w:val="center"/>
          </w:tcPr>
          <w:p w:rsidR="00885031" w:rsidRPr="00885031" w:rsidRDefault="00C662D9" w:rsidP="00B30CA8">
            <w:pPr>
              <w:rPr>
                <w:rFonts w:cs="Arial"/>
              </w:rPr>
            </w:pPr>
            <w:r>
              <w:t>D</w:t>
            </w:r>
            <w:r w:rsidRPr="00C662D9">
              <w:t>elayed onset of clinical signs and symptoms</w:t>
            </w:r>
            <w:r w:rsidR="00B30CA8">
              <w:t xml:space="preserve"> can be explained by</w:t>
            </w:r>
            <w:r>
              <w:t xml:space="preserve"> the presence of tutin glycosides </w:t>
            </w:r>
            <w:r w:rsidR="00B30CA8">
              <w:t>in toxic honeydew honey.</w:t>
            </w:r>
            <w:r>
              <w:t xml:space="preserve"> </w:t>
            </w:r>
            <w:r w:rsidR="00B30CA8">
              <w:t>If honey contained tutin</w:t>
            </w:r>
            <w:r w:rsidR="00C81D79">
              <w:t>,</w:t>
            </w:r>
            <w:r w:rsidR="00B30CA8">
              <w:t xml:space="preserve"> but not tutin glycosides</w:t>
            </w:r>
            <w:r w:rsidR="00C81D79">
              <w:t>,</w:t>
            </w:r>
            <w:r w:rsidR="00B30CA8">
              <w:t xml:space="preserve"> a delayed onset of clinical signs and symptoms would not be expected.</w:t>
            </w:r>
          </w:p>
        </w:tc>
      </w:tr>
    </w:tbl>
    <w:p w:rsidR="00885031" w:rsidRPr="00885031" w:rsidRDefault="00885031" w:rsidP="00885031">
      <w:pPr>
        <w:rPr>
          <w:rFonts w:cs="Arial"/>
        </w:rPr>
      </w:pPr>
    </w:p>
    <w:p w:rsidR="00B3546C" w:rsidRPr="00C46C9B" w:rsidRDefault="00B3546C" w:rsidP="00B3546C">
      <w:pPr>
        <w:ind w:left="567" w:hanging="567"/>
        <w:rPr>
          <w:rFonts w:cs="Arial"/>
          <w:b/>
          <w:i/>
        </w:rPr>
      </w:pPr>
      <w:r>
        <w:rPr>
          <w:rFonts w:cs="Arial"/>
          <w:b/>
          <w:i/>
        </w:rPr>
        <w:t>2</w:t>
      </w:r>
      <w:r w:rsidRPr="00885031">
        <w:rPr>
          <w:rFonts w:cs="Arial"/>
          <w:b/>
          <w:i/>
        </w:rPr>
        <w:t>.</w:t>
      </w:r>
      <w:r w:rsidRPr="00885031">
        <w:rPr>
          <w:rFonts w:cs="Arial"/>
          <w:b/>
          <w:i/>
        </w:rPr>
        <w:tab/>
      </w:r>
      <w:r w:rsidR="00C662D9">
        <w:rPr>
          <w:rFonts w:cs="Arial"/>
          <w:b/>
          <w:i/>
        </w:rPr>
        <w:t>Does a delayed onset of clinical signs and symptoms</w:t>
      </w:r>
      <w:r w:rsidR="00C73513">
        <w:rPr>
          <w:rFonts w:cs="Arial"/>
          <w:b/>
          <w:i/>
        </w:rPr>
        <w:t xml:space="preserve"> following consumption of tutu </w:t>
      </w:r>
      <w:r w:rsidR="00C662D9">
        <w:rPr>
          <w:rFonts w:cs="Arial"/>
          <w:b/>
          <w:i/>
        </w:rPr>
        <w:t>honeydew honey have implications for the current tutin ML</w:t>
      </w:r>
      <w:r w:rsidR="00CB5E26">
        <w:rPr>
          <w:rFonts w:cs="Arial"/>
          <w:b/>
          <w:i/>
        </w:rPr>
        <w:t xml:space="preserve"> of 2 mg/kg</w:t>
      </w:r>
      <w:r w:rsidR="00C662D9">
        <w:rPr>
          <w:rFonts w:cs="Arial"/>
          <w:b/>
          <w:i/>
        </w:rPr>
        <w:t>?</w:t>
      </w:r>
    </w:p>
    <w:p w:rsidR="00B3546C" w:rsidRPr="00885031" w:rsidRDefault="00B3546C" w:rsidP="00B3546C">
      <w:pPr>
        <w:rPr>
          <w:rFonts w:cs="Arial"/>
        </w:rPr>
      </w:pPr>
    </w:p>
    <w:tbl>
      <w:tblPr>
        <w:tblStyle w:val="TableGrid1"/>
        <w:tblW w:w="0" w:type="auto"/>
        <w:tblInd w:w="108" w:type="dxa"/>
        <w:tblLook w:val="04A0" w:firstRow="1" w:lastRow="0" w:firstColumn="1" w:lastColumn="0" w:noHBand="0" w:noVBand="1"/>
      </w:tblPr>
      <w:tblGrid>
        <w:gridCol w:w="2410"/>
        <w:gridCol w:w="6724"/>
      </w:tblGrid>
      <w:tr w:rsidR="00B3546C" w:rsidRPr="00885031" w:rsidTr="00B3546C">
        <w:trPr>
          <w:trHeight w:val="383"/>
        </w:trPr>
        <w:tc>
          <w:tcPr>
            <w:tcW w:w="2410" w:type="dxa"/>
            <w:shd w:val="clear" w:color="auto" w:fill="EEECE1" w:themeFill="background2"/>
            <w:vAlign w:val="center"/>
          </w:tcPr>
          <w:p w:rsidR="00B3546C" w:rsidRPr="00885031" w:rsidRDefault="00B3546C" w:rsidP="00B3546C">
            <w:pPr>
              <w:jc w:val="center"/>
              <w:rPr>
                <w:rFonts w:cs="Arial"/>
                <w:b/>
                <w:i/>
              </w:rPr>
            </w:pPr>
            <w:r w:rsidRPr="00885031">
              <w:rPr>
                <w:rFonts w:cs="Arial"/>
                <w:b/>
                <w:i/>
              </w:rPr>
              <w:t>Section of report</w:t>
            </w:r>
          </w:p>
        </w:tc>
        <w:tc>
          <w:tcPr>
            <w:tcW w:w="6724" w:type="dxa"/>
            <w:shd w:val="clear" w:color="auto" w:fill="EEECE1" w:themeFill="background2"/>
            <w:vAlign w:val="center"/>
          </w:tcPr>
          <w:p w:rsidR="00B3546C" w:rsidRPr="00885031" w:rsidRDefault="00B3546C" w:rsidP="00B3546C">
            <w:pPr>
              <w:jc w:val="center"/>
              <w:rPr>
                <w:rFonts w:cs="Arial"/>
                <w:b/>
                <w:i/>
              </w:rPr>
            </w:pPr>
            <w:r w:rsidRPr="00885031">
              <w:rPr>
                <w:rFonts w:cs="Arial"/>
                <w:b/>
                <w:i/>
              </w:rPr>
              <w:t>Summary response/conclusion</w:t>
            </w:r>
          </w:p>
        </w:tc>
      </w:tr>
      <w:tr w:rsidR="00B3546C" w:rsidRPr="00885031" w:rsidTr="005323EF">
        <w:trPr>
          <w:trHeight w:val="1832"/>
        </w:trPr>
        <w:tc>
          <w:tcPr>
            <w:tcW w:w="2410" w:type="dxa"/>
            <w:vAlign w:val="center"/>
          </w:tcPr>
          <w:p w:rsidR="00B3546C" w:rsidRPr="00885031" w:rsidRDefault="003F68A4" w:rsidP="00B3546C">
            <w:pPr>
              <w:rPr>
                <w:rFonts w:cs="Arial"/>
              </w:rPr>
            </w:pPr>
            <w:r>
              <w:rPr>
                <w:rFonts w:cs="Arial"/>
              </w:rPr>
              <w:t xml:space="preserve">Section </w:t>
            </w:r>
            <w:r w:rsidR="00B30CA8">
              <w:rPr>
                <w:rFonts w:cs="Arial"/>
              </w:rPr>
              <w:t xml:space="preserve">2 and </w:t>
            </w:r>
            <w:r>
              <w:rPr>
                <w:rFonts w:cs="Arial"/>
              </w:rPr>
              <w:t>4</w:t>
            </w:r>
          </w:p>
        </w:tc>
        <w:tc>
          <w:tcPr>
            <w:tcW w:w="6724" w:type="dxa"/>
            <w:vAlign w:val="center"/>
          </w:tcPr>
          <w:p w:rsidR="007F4A1E" w:rsidRPr="00885031" w:rsidRDefault="00325C9A" w:rsidP="00B06257">
            <w:pPr>
              <w:rPr>
                <w:rFonts w:cs="Arial"/>
              </w:rPr>
            </w:pPr>
            <w:r>
              <w:rPr>
                <w:rFonts w:cs="Arial"/>
              </w:rPr>
              <w:t>Yes, however n</w:t>
            </w:r>
            <w:r w:rsidR="000D07F1" w:rsidRPr="000D07F1">
              <w:rPr>
                <w:rFonts w:cs="Arial"/>
              </w:rPr>
              <w:t>o method is currently available for the quantification</w:t>
            </w:r>
            <w:r w:rsidR="000D07F1">
              <w:rPr>
                <w:rFonts w:cs="Arial"/>
              </w:rPr>
              <w:t xml:space="preserve"> of tutin glycosides in honey, therefore t</w:t>
            </w:r>
            <w:r w:rsidR="000D07F1" w:rsidRPr="000D07F1">
              <w:rPr>
                <w:rFonts w:cs="Arial"/>
              </w:rPr>
              <w:t xml:space="preserve">he continued use of an ML based on the level of tutin is necessary. </w:t>
            </w:r>
            <w:r w:rsidR="003F68A4">
              <w:rPr>
                <w:rFonts w:cs="Arial"/>
              </w:rPr>
              <w:t>A</w:t>
            </w:r>
            <w:r w:rsidR="003F68A4" w:rsidRPr="003F68A4">
              <w:rPr>
                <w:rFonts w:cs="Arial"/>
              </w:rPr>
              <w:t xml:space="preserve"> reduction in the ML by a factor of 3 </w:t>
            </w:r>
            <w:r w:rsidR="003F68A4">
              <w:rPr>
                <w:rFonts w:cs="Arial"/>
              </w:rPr>
              <w:t>is considered sufficient to minimise the risk of adverse health effects</w:t>
            </w:r>
            <w:r w:rsidR="00C81D79">
              <w:rPr>
                <w:rFonts w:cs="Arial"/>
              </w:rPr>
              <w:t xml:space="preserve"> from the consumption of honey containing tutin and tutin glycosides</w:t>
            </w:r>
            <w:r w:rsidR="003F68A4">
              <w:rPr>
                <w:rFonts w:cs="Arial"/>
              </w:rPr>
              <w:t>.</w:t>
            </w:r>
          </w:p>
        </w:tc>
      </w:tr>
    </w:tbl>
    <w:p w:rsidR="00B3546C" w:rsidRPr="00885031" w:rsidRDefault="00B3546C" w:rsidP="00B3546C">
      <w:pPr>
        <w:rPr>
          <w:rFonts w:cs="Arial"/>
        </w:rPr>
      </w:pPr>
    </w:p>
    <w:p w:rsidR="00B3546C" w:rsidRPr="00885031" w:rsidRDefault="00B3546C" w:rsidP="00B3546C">
      <w:pPr>
        <w:ind w:left="567" w:hanging="567"/>
        <w:rPr>
          <w:rFonts w:cs="Arial"/>
          <w:b/>
          <w:i/>
        </w:rPr>
      </w:pPr>
      <w:r>
        <w:rPr>
          <w:rFonts w:cs="Arial"/>
          <w:b/>
          <w:i/>
        </w:rPr>
        <w:t>3</w:t>
      </w:r>
      <w:r w:rsidRPr="00885031">
        <w:rPr>
          <w:rFonts w:cs="Arial"/>
          <w:b/>
          <w:i/>
        </w:rPr>
        <w:t>.</w:t>
      </w:r>
      <w:r w:rsidRPr="00885031">
        <w:rPr>
          <w:rFonts w:cs="Arial"/>
          <w:b/>
          <w:i/>
        </w:rPr>
        <w:tab/>
      </w:r>
      <w:r w:rsidRPr="00B43466">
        <w:rPr>
          <w:rFonts w:cs="Arial"/>
          <w:b/>
          <w:i/>
        </w:rPr>
        <w:t>Does</w:t>
      </w:r>
      <w:r w:rsidRPr="00C46C9B">
        <w:rPr>
          <w:b/>
          <w:i/>
        </w:rPr>
        <w:t xml:space="preserve"> comb </w:t>
      </w:r>
      <w:r w:rsidRPr="00B43466">
        <w:rPr>
          <w:rFonts w:cs="Arial"/>
          <w:b/>
          <w:i/>
        </w:rPr>
        <w:t>honey</w:t>
      </w:r>
      <w:r w:rsidRPr="005E2111">
        <w:rPr>
          <w:rFonts w:cs="Arial"/>
          <w:b/>
          <w:i/>
        </w:rPr>
        <w:t xml:space="preserve"> containin</w:t>
      </w:r>
      <w:r>
        <w:rPr>
          <w:rFonts w:cs="Arial"/>
          <w:b/>
          <w:i/>
        </w:rPr>
        <w:t xml:space="preserve">g tutin </w:t>
      </w:r>
      <w:r w:rsidR="00833728">
        <w:rPr>
          <w:rFonts w:cs="Arial"/>
          <w:b/>
          <w:i/>
        </w:rPr>
        <w:t xml:space="preserve">at </w:t>
      </w:r>
      <w:r>
        <w:rPr>
          <w:rFonts w:cs="Arial"/>
          <w:b/>
          <w:i/>
        </w:rPr>
        <w:t>the current ML of 0.1</w:t>
      </w:r>
      <w:r w:rsidR="00833728">
        <w:rPr>
          <w:rFonts w:cs="Arial"/>
          <w:b/>
          <w:i/>
        </w:rPr>
        <w:t> </w:t>
      </w:r>
      <w:r w:rsidRPr="005E2111">
        <w:rPr>
          <w:rFonts w:cs="Arial"/>
          <w:b/>
          <w:i/>
        </w:rPr>
        <w:t>mg/kg pose a health risk?</w:t>
      </w:r>
    </w:p>
    <w:p w:rsidR="00B3546C" w:rsidRPr="00885031" w:rsidRDefault="00B3546C" w:rsidP="00B3546C">
      <w:pPr>
        <w:rPr>
          <w:rFonts w:cs="Arial"/>
        </w:rPr>
      </w:pPr>
    </w:p>
    <w:tbl>
      <w:tblPr>
        <w:tblStyle w:val="TableGrid1"/>
        <w:tblW w:w="0" w:type="auto"/>
        <w:tblInd w:w="108" w:type="dxa"/>
        <w:tblLook w:val="04A0" w:firstRow="1" w:lastRow="0" w:firstColumn="1" w:lastColumn="0" w:noHBand="0" w:noVBand="1"/>
      </w:tblPr>
      <w:tblGrid>
        <w:gridCol w:w="2410"/>
        <w:gridCol w:w="6724"/>
      </w:tblGrid>
      <w:tr w:rsidR="00B3546C" w:rsidRPr="00885031" w:rsidTr="00B3546C">
        <w:trPr>
          <w:trHeight w:val="383"/>
        </w:trPr>
        <w:tc>
          <w:tcPr>
            <w:tcW w:w="2410" w:type="dxa"/>
            <w:shd w:val="clear" w:color="auto" w:fill="EEECE1" w:themeFill="background2"/>
            <w:vAlign w:val="center"/>
          </w:tcPr>
          <w:p w:rsidR="00B3546C" w:rsidRPr="00885031" w:rsidRDefault="00B3546C" w:rsidP="00B3546C">
            <w:pPr>
              <w:jc w:val="center"/>
              <w:rPr>
                <w:rFonts w:cs="Arial"/>
                <w:b/>
                <w:i/>
              </w:rPr>
            </w:pPr>
            <w:r w:rsidRPr="00885031">
              <w:rPr>
                <w:rFonts w:cs="Arial"/>
                <w:b/>
                <w:i/>
              </w:rPr>
              <w:t>Section of report</w:t>
            </w:r>
          </w:p>
        </w:tc>
        <w:tc>
          <w:tcPr>
            <w:tcW w:w="6724" w:type="dxa"/>
            <w:shd w:val="clear" w:color="auto" w:fill="EEECE1" w:themeFill="background2"/>
            <w:vAlign w:val="center"/>
          </w:tcPr>
          <w:p w:rsidR="00B3546C" w:rsidRPr="00885031" w:rsidRDefault="00B3546C" w:rsidP="00B3546C">
            <w:pPr>
              <w:jc w:val="center"/>
              <w:rPr>
                <w:rFonts w:cs="Arial"/>
                <w:b/>
                <w:i/>
              </w:rPr>
            </w:pPr>
            <w:r w:rsidRPr="00885031">
              <w:rPr>
                <w:rFonts w:cs="Arial"/>
                <w:b/>
                <w:i/>
              </w:rPr>
              <w:t>Summary response/conclusion</w:t>
            </w:r>
          </w:p>
        </w:tc>
      </w:tr>
      <w:tr w:rsidR="00B3546C" w:rsidRPr="00885031" w:rsidTr="005323EF">
        <w:trPr>
          <w:trHeight w:val="700"/>
        </w:trPr>
        <w:tc>
          <w:tcPr>
            <w:tcW w:w="2410" w:type="dxa"/>
            <w:vAlign w:val="center"/>
          </w:tcPr>
          <w:p w:rsidR="00B3546C" w:rsidRPr="00885031" w:rsidRDefault="00B3546C" w:rsidP="00B3546C">
            <w:pPr>
              <w:rPr>
                <w:rFonts w:cs="Arial"/>
              </w:rPr>
            </w:pPr>
            <w:r w:rsidRPr="00885031">
              <w:rPr>
                <w:rFonts w:cs="Arial"/>
              </w:rPr>
              <w:t xml:space="preserve">Section </w:t>
            </w:r>
            <w:r w:rsidR="003F68A4">
              <w:rPr>
                <w:rFonts w:cs="Arial"/>
              </w:rPr>
              <w:t>4</w:t>
            </w:r>
          </w:p>
        </w:tc>
        <w:tc>
          <w:tcPr>
            <w:tcW w:w="6724" w:type="dxa"/>
            <w:vAlign w:val="center"/>
          </w:tcPr>
          <w:p w:rsidR="00B3546C" w:rsidRPr="00885031" w:rsidRDefault="00665484" w:rsidP="00B43466">
            <w:pPr>
              <w:rPr>
                <w:rFonts w:cs="Arial"/>
              </w:rPr>
            </w:pPr>
            <w:r>
              <w:rPr>
                <w:rFonts w:cs="Arial"/>
              </w:rPr>
              <w:t xml:space="preserve">There are insufficient data on </w:t>
            </w:r>
            <w:r w:rsidR="002B4D8C">
              <w:rPr>
                <w:rFonts w:cs="Arial"/>
              </w:rPr>
              <w:t xml:space="preserve">the </w:t>
            </w:r>
            <w:r>
              <w:rPr>
                <w:rFonts w:cs="Arial"/>
              </w:rPr>
              <w:t>potential heterogeneity of tutin distribution to characterise the risk for comb honey.</w:t>
            </w:r>
            <w:r w:rsidR="00B3546C" w:rsidRPr="00885031">
              <w:rPr>
                <w:rFonts w:cs="Arial"/>
              </w:rPr>
              <w:t xml:space="preserve"> </w:t>
            </w:r>
          </w:p>
        </w:tc>
      </w:tr>
    </w:tbl>
    <w:p w:rsidR="00B3546C" w:rsidRDefault="00B3546C" w:rsidP="00885031">
      <w:pPr>
        <w:ind w:left="567" w:hanging="567"/>
        <w:rPr>
          <w:rFonts w:cs="Arial"/>
          <w:b/>
        </w:rPr>
      </w:pPr>
    </w:p>
    <w:p w:rsidR="001E4F47" w:rsidRDefault="001E4F47">
      <w:pPr>
        <w:widowControl/>
        <w:rPr>
          <w:rFonts w:cs="Arial"/>
          <w:b/>
        </w:rPr>
      </w:pPr>
      <w:r>
        <w:rPr>
          <w:rFonts w:cs="Arial"/>
          <w:b/>
        </w:rPr>
        <w:br w:type="page"/>
      </w:r>
    </w:p>
    <w:p w:rsidR="00CC537E" w:rsidRDefault="00CC537E" w:rsidP="00336BE8">
      <w:pPr>
        <w:pStyle w:val="Heading1"/>
      </w:pPr>
      <w:bookmarkStart w:id="53" w:name="_Toc360028635"/>
      <w:bookmarkStart w:id="54" w:name="_Toc401143933"/>
      <w:r>
        <w:lastRenderedPageBreak/>
        <w:t>6</w:t>
      </w:r>
      <w:r w:rsidRPr="00CC537E">
        <w:t>.</w:t>
      </w:r>
      <w:r w:rsidRPr="00CC537E">
        <w:tab/>
        <w:t>R</w:t>
      </w:r>
      <w:bookmarkEnd w:id="53"/>
      <w:r w:rsidR="00307A70">
        <w:t>eferences</w:t>
      </w:r>
      <w:bookmarkEnd w:id="54"/>
    </w:p>
    <w:p w:rsidR="00A128B3" w:rsidRPr="00BD21BD" w:rsidRDefault="00A128B3" w:rsidP="00A128B3">
      <w:pPr>
        <w:rPr>
          <w:sz w:val="20"/>
          <w:szCs w:val="20"/>
        </w:rPr>
      </w:pPr>
      <w:r w:rsidRPr="00BD21BD">
        <w:rPr>
          <w:sz w:val="20"/>
          <w:szCs w:val="20"/>
        </w:rPr>
        <w:t>Beasley DM (2008) A recent outbreak of honey poisoning linked to the tutu plant (</w:t>
      </w:r>
      <w:r w:rsidRPr="00BD21BD">
        <w:rPr>
          <w:i/>
          <w:sz w:val="20"/>
          <w:szCs w:val="20"/>
        </w:rPr>
        <w:t>Coriaria arborea</w:t>
      </w:r>
      <w:r w:rsidRPr="00BD21BD">
        <w:rPr>
          <w:sz w:val="20"/>
          <w:szCs w:val="20"/>
        </w:rPr>
        <w:t xml:space="preserve">). Abstracts of the 2008 North American Congress of Clinical Toxicology Annual Meeting, September 11–16, 2008, Toronto, Canada. </w:t>
      </w:r>
      <w:r w:rsidRPr="00BD21BD">
        <w:rPr>
          <w:i/>
          <w:sz w:val="20"/>
          <w:szCs w:val="20"/>
        </w:rPr>
        <w:t>Clin Toxicol</w:t>
      </w:r>
      <w:r w:rsidRPr="00BD21BD">
        <w:rPr>
          <w:sz w:val="20"/>
          <w:szCs w:val="20"/>
        </w:rPr>
        <w:t xml:space="preserve">, </w:t>
      </w:r>
      <w:r w:rsidRPr="00BD21BD">
        <w:rPr>
          <w:b/>
          <w:sz w:val="20"/>
          <w:szCs w:val="20"/>
        </w:rPr>
        <w:t>46</w:t>
      </w:r>
      <w:r w:rsidRPr="00BD21BD">
        <w:rPr>
          <w:sz w:val="20"/>
          <w:szCs w:val="20"/>
        </w:rPr>
        <w:t>:617.</w:t>
      </w:r>
    </w:p>
    <w:p w:rsidR="00A128B3" w:rsidRPr="00BD21BD" w:rsidRDefault="00A128B3" w:rsidP="00A128B3">
      <w:pPr>
        <w:rPr>
          <w:sz w:val="20"/>
          <w:szCs w:val="20"/>
        </w:rPr>
      </w:pPr>
    </w:p>
    <w:p w:rsidR="00584BF9" w:rsidRPr="00BD21BD" w:rsidRDefault="00584BF9" w:rsidP="00584BF9">
      <w:pPr>
        <w:rPr>
          <w:bCs/>
          <w:iCs/>
          <w:sz w:val="20"/>
          <w:szCs w:val="20"/>
        </w:rPr>
      </w:pPr>
      <w:r w:rsidRPr="00BD21BD">
        <w:rPr>
          <w:bCs/>
          <w:iCs/>
          <w:sz w:val="20"/>
          <w:szCs w:val="20"/>
        </w:rPr>
        <w:t xml:space="preserve">Belcher SF, Morton TR (2013) Tutu toxicity: three case reports of </w:t>
      </w:r>
      <w:r w:rsidRPr="00BD21BD">
        <w:rPr>
          <w:bCs/>
          <w:i/>
          <w:iCs/>
          <w:sz w:val="20"/>
          <w:szCs w:val="20"/>
        </w:rPr>
        <w:t>Coriaria arborea</w:t>
      </w:r>
      <w:r w:rsidRPr="00BD21BD">
        <w:rPr>
          <w:bCs/>
          <w:iCs/>
          <w:sz w:val="20"/>
          <w:szCs w:val="20"/>
        </w:rPr>
        <w:t xml:space="preserve"> ingestion, review of literature and recommendations for management. </w:t>
      </w:r>
      <w:r w:rsidRPr="00BD21BD">
        <w:rPr>
          <w:bCs/>
          <w:i/>
          <w:iCs/>
          <w:sz w:val="20"/>
          <w:szCs w:val="20"/>
        </w:rPr>
        <w:t>NZ Med J</w:t>
      </w:r>
      <w:r w:rsidR="00CC643D" w:rsidRPr="00BD21BD">
        <w:rPr>
          <w:bCs/>
          <w:i/>
          <w:iCs/>
          <w:sz w:val="20"/>
          <w:szCs w:val="20"/>
        </w:rPr>
        <w:t>,</w:t>
      </w:r>
      <w:r w:rsidRPr="00BD21BD">
        <w:rPr>
          <w:bCs/>
          <w:iCs/>
          <w:sz w:val="20"/>
          <w:szCs w:val="20"/>
        </w:rPr>
        <w:t xml:space="preserve"> </w:t>
      </w:r>
      <w:r w:rsidRPr="00BD21BD">
        <w:rPr>
          <w:b/>
          <w:bCs/>
          <w:iCs/>
          <w:sz w:val="20"/>
          <w:szCs w:val="20"/>
        </w:rPr>
        <w:t>126</w:t>
      </w:r>
      <w:r w:rsidRPr="00BD21BD">
        <w:rPr>
          <w:bCs/>
          <w:iCs/>
          <w:sz w:val="20"/>
          <w:szCs w:val="20"/>
        </w:rPr>
        <w:t>(1370):103-109.</w:t>
      </w:r>
    </w:p>
    <w:p w:rsidR="00A128B3" w:rsidRPr="00BD21BD" w:rsidRDefault="00A128B3" w:rsidP="00A128B3">
      <w:pPr>
        <w:rPr>
          <w:bCs/>
          <w:iCs/>
          <w:sz w:val="20"/>
          <w:szCs w:val="20"/>
        </w:rPr>
      </w:pPr>
    </w:p>
    <w:p w:rsidR="00D93D77" w:rsidRPr="00BD21BD" w:rsidRDefault="00D93D77">
      <w:pPr>
        <w:rPr>
          <w:bCs/>
          <w:iCs/>
          <w:sz w:val="20"/>
          <w:szCs w:val="20"/>
        </w:rPr>
      </w:pPr>
      <w:r w:rsidRPr="00BD21BD">
        <w:rPr>
          <w:bCs/>
          <w:iCs/>
          <w:sz w:val="20"/>
          <w:szCs w:val="20"/>
        </w:rPr>
        <w:t xml:space="preserve">Blunt JW, Munro MHG, Swallow WH (1979) Carbon-13 N.M.R. analysis of tutin and related substances: Application to the identification of minor components of toxic honey. </w:t>
      </w:r>
      <w:r w:rsidRPr="00BD21BD">
        <w:rPr>
          <w:bCs/>
          <w:i/>
          <w:iCs/>
          <w:sz w:val="20"/>
          <w:szCs w:val="20"/>
        </w:rPr>
        <w:t>Aust J Chem</w:t>
      </w:r>
      <w:r w:rsidRPr="00BD21BD">
        <w:rPr>
          <w:bCs/>
          <w:iCs/>
          <w:sz w:val="20"/>
          <w:szCs w:val="20"/>
        </w:rPr>
        <w:t xml:space="preserve">, </w:t>
      </w:r>
      <w:r w:rsidRPr="00BD21BD">
        <w:rPr>
          <w:b/>
          <w:bCs/>
          <w:iCs/>
          <w:sz w:val="20"/>
          <w:szCs w:val="20"/>
        </w:rPr>
        <w:t>32</w:t>
      </w:r>
      <w:r w:rsidRPr="00BD21BD">
        <w:rPr>
          <w:bCs/>
          <w:iCs/>
          <w:sz w:val="20"/>
          <w:szCs w:val="20"/>
        </w:rPr>
        <w:t>, 1339-1343.</w:t>
      </w:r>
    </w:p>
    <w:p w:rsidR="00D93D77" w:rsidRPr="00BD21BD" w:rsidRDefault="00D93D77">
      <w:pPr>
        <w:rPr>
          <w:bCs/>
          <w:iCs/>
          <w:sz w:val="20"/>
          <w:szCs w:val="20"/>
        </w:rPr>
      </w:pPr>
    </w:p>
    <w:p w:rsidR="0040181E" w:rsidRPr="00BD21BD" w:rsidRDefault="0040181E">
      <w:pPr>
        <w:rPr>
          <w:bCs/>
          <w:iCs/>
          <w:sz w:val="20"/>
          <w:szCs w:val="20"/>
        </w:rPr>
      </w:pPr>
      <w:r w:rsidRPr="00BD21BD">
        <w:rPr>
          <w:bCs/>
          <w:iCs/>
          <w:sz w:val="20"/>
          <w:szCs w:val="20"/>
        </w:rPr>
        <w:t xml:space="preserve">Chancellor AM (2013) A bitter-sweet tale from the land of milk and honey. </w:t>
      </w:r>
      <w:r w:rsidRPr="00BD21BD">
        <w:rPr>
          <w:bCs/>
          <w:i/>
          <w:iCs/>
          <w:sz w:val="20"/>
          <w:szCs w:val="20"/>
        </w:rPr>
        <w:t>Pract Neurol</w:t>
      </w:r>
      <w:r w:rsidRPr="00BD21BD">
        <w:rPr>
          <w:bCs/>
          <w:iCs/>
          <w:sz w:val="20"/>
          <w:szCs w:val="20"/>
        </w:rPr>
        <w:t xml:space="preserve">, </w:t>
      </w:r>
      <w:r w:rsidRPr="00BD21BD">
        <w:rPr>
          <w:b/>
          <w:bCs/>
          <w:iCs/>
          <w:sz w:val="20"/>
          <w:szCs w:val="20"/>
        </w:rPr>
        <w:t>13</w:t>
      </w:r>
      <w:r w:rsidRPr="00BD21BD">
        <w:rPr>
          <w:bCs/>
          <w:iCs/>
          <w:sz w:val="20"/>
          <w:szCs w:val="20"/>
        </w:rPr>
        <w:t xml:space="preserve">(3):185-187. </w:t>
      </w:r>
    </w:p>
    <w:p w:rsidR="003E6730" w:rsidRPr="00BD21BD" w:rsidRDefault="003E6730"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Chen L, Durkin KA, Casida JE (2006) Structural model for gamma-aminobutyric acid receptor noncompetitive antagonist binding: widely diverse structures fit the same site. </w:t>
      </w:r>
      <w:r w:rsidRPr="00BD21BD">
        <w:rPr>
          <w:bCs/>
          <w:i/>
          <w:iCs/>
          <w:sz w:val="20"/>
          <w:szCs w:val="20"/>
        </w:rPr>
        <w:t>Proc Natl Acad Sci U S A</w:t>
      </w:r>
      <w:r w:rsidRPr="00BD21BD">
        <w:rPr>
          <w:bCs/>
          <w:iCs/>
          <w:sz w:val="20"/>
          <w:szCs w:val="20"/>
        </w:rPr>
        <w:t xml:space="preserve">, </w:t>
      </w:r>
      <w:r w:rsidRPr="00BD21BD">
        <w:rPr>
          <w:b/>
          <w:bCs/>
          <w:iCs/>
          <w:sz w:val="20"/>
          <w:szCs w:val="20"/>
        </w:rPr>
        <w:t>103</w:t>
      </w:r>
      <w:r w:rsidRPr="00BD21BD">
        <w:rPr>
          <w:bCs/>
          <w:iCs/>
          <w:sz w:val="20"/>
          <w:szCs w:val="20"/>
        </w:rPr>
        <w:t>:5185-5190.</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Clinch PG (1966) An improved intracerebral injection method for detecting tutin and</w:t>
      </w:r>
    </w:p>
    <w:p w:rsidR="00A128B3" w:rsidRPr="00BD21BD" w:rsidRDefault="00A128B3" w:rsidP="00A128B3">
      <w:pPr>
        <w:rPr>
          <w:bCs/>
          <w:iCs/>
          <w:sz w:val="20"/>
          <w:szCs w:val="20"/>
        </w:rPr>
      </w:pPr>
      <w:r w:rsidRPr="00BD21BD">
        <w:rPr>
          <w:bCs/>
          <w:iCs/>
          <w:sz w:val="20"/>
          <w:szCs w:val="20"/>
        </w:rPr>
        <w:t xml:space="preserve">hyenanchin in toxic honey. </w:t>
      </w:r>
      <w:r w:rsidRPr="00BD21BD">
        <w:rPr>
          <w:bCs/>
          <w:i/>
          <w:iCs/>
          <w:sz w:val="20"/>
          <w:szCs w:val="20"/>
        </w:rPr>
        <w:t>NZ J Sci</w:t>
      </w:r>
      <w:r w:rsidR="00CC643D" w:rsidRPr="00BD21BD">
        <w:rPr>
          <w:bCs/>
          <w:iCs/>
          <w:sz w:val="20"/>
          <w:szCs w:val="20"/>
        </w:rPr>
        <w:t>,</w:t>
      </w:r>
      <w:r w:rsidRPr="00BD21BD">
        <w:rPr>
          <w:bCs/>
          <w:iCs/>
          <w:sz w:val="20"/>
          <w:szCs w:val="20"/>
        </w:rPr>
        <w:t xml:space="preserve"> </w:t>
      </w:r>
      <w:r w:rsidRPr="00BD21BD">
        <w:rPr>
          <w:b/>
          <w:bCs/>
          <w:iCs/>
          <w:sz w:val="20"/>
          <w:szCs w:val="20"/>
        </w:rPr>
        <w:t>9</w:t>
      </w:r>
      <w:r w:rsidRPr="00BD21BD">
        <w:rPr>
          <w:bCs/>
          <w:iCs/>
          <w:sz w:val="20"/>
          <w:szCs w:val="20"/>
        </w:rPr>
        <w:t>:433-439.</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Corban CA (1929a) Personal experiences with tutin. </w:t>
      </w:r>
      <w:r w:rsidRPr="00BD21BD">
        <w:rPr>
          <w:bCs/>
          <w:i/>
          <w:iCs/>
          <w:sz w:val="20"/>
          <w:szCs w:val="20"/>
        </w:rPr>
        <w:t>NZ Med J</w:t>
      </w:r>
      <w:r w:rsidRPr="00BD21BD">
        <w:rPr>
          <w:bCs/>
          <w:iCs/>
          <w:sz w:val="20"/>
          <w:szCs w:val="20"/>
        </w:rPr>
        <w:t xml:space="preserve">, </w:t>
      </w:r>
      <w:r w:rsidRPr="00BD21BD">
        <w:rPr>
          <w:b/>
          <w:bCs/>
          <w:iCs/>
          <w:sz w:val="20"/>
          <w:szCs w:val="20"/>
        </w:rPr>
        <w:t>28</w:t>
      </w:r>
      <w:r w:rsidRPr="00BD21BD">
        <w:rPr>
          <w:bCs/>
          <w:iCs/>
          <w:sz w:val="20"/>
          <w:szCs w:val="20"/>
        </w:rPr>
        <w:t>:98-103.</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Corban CA (1929b) Personal experiences with tutin. </w:t>
      </w:r>
      <w:r w:rsidRPr="00BD21BD">
        <w:rPr>
          <w:bCs/>
          <w:i/>
          <w:iCs/>
          <w:sz w:val="20"/>
          <w:szCs w:val="20"/>
        </w:rPr>
        <w:t>NZ Med J</w:t>
      </w:r>
      <w:r w:rsidRPr="00BD21BD">
        <w:rPr>
          <w:bCs/>
          <w:iCs/>
          <w:sz w:val="20"/>
          <w:szCs w:val="20"/>
        </w:rPr>
        <w:t xml:space="preserve">, </w:t>
      </w:r>
      <w:r w:rsidRPr="00BD21BD">
        <w:rPr>
          <w:b/>
          <w:bCs/>
          <w:iCs/>
          <w:sz w:val="20"/>
          <w:szCs w:val="20"/>
        </w:rPr>
        <w:t>28</w:t>
      </w:r>
      <w:r w:rsidRPr="00BD21BD">
        <w:rPr>
          <w:bCs/>
          <w:iCs/>
          <w:sz w:val="20"/>
          <w:szCs w:val="20"/>
        </w:rPr>
        <w:t>:233-239.</w:t>
      </w:r>
    </w:p>
    <w:p w:rsidR="00A128B3" w:rsidRPr="00BD21BD" w:rsidRDefault="00A128B3" w:rsidP="00A128B3">
      <w:pPr>
        <w:rPr>
          <w:bCs/>
          <w:iCs/>
          <w:sz w:val="20"/>
          <w:szCs w:val="20"/>
        </w:rPr>
      </w:pPr>
    </w:p>
    <w:p w:rsidR="002F5CD0" w:rsidRPr="00BD21BD" w:rsidRDefault="002F5CD0" w:rsidP="00A128B3">
      <w:pPr>
        <w:rPr>
          <w:bCs/>
          <w:iCs/>
          <w:sz w:val="20"/>
          <w:szCs w:val="20"/>
        </w:rPr>
      </w:pPr>
      <w:r w:rsidRPr="00BD21BD">
        <w:rPr>
          <w:bCs/>
          <w:iCs/>
          <w:sz w:val="20"/>
          <w:szCs w:val="20"/>
        </w:rPr>
        <w:t xml:space="preserve">Curtis DR, Davies J, Game CJ, Johnston GA, McCulloch RM (1973) Central actions of shikimin and tutin. </w:t>
      </w:r>
      <w:r w:rsidRPr="00BD21BD">
        <w:rPr>
          <w:bCs/>
          <w:i/>
          <w:iCs/>
          <w:sz w:val="20"/>
          <w:szCs w:val="20"/>
        </w:rPr>
        <w:t>Brain Research</w:t>
      </w:r>
      <w:r w:rsidRPr="00BD21BD">
        <w:rPr>
          <w:bCs/>
          <w:iCs/>
          <w:sz w:val="20"/>
          <w:szCs w:val="20"/>
        </w:rPr>
        <w:t xml:space="preserve">, </w:t>
      </w:r>
      <w:r w:rsidRPr="00BD21BD">
        <w:rPr>
          <w:b/>
          <w:bCs/>
          <w:iCs/>
          <w:sz w:val="20"/>
          <w:szCs w:val="20"/>
        </w:rPr>
        <w:t>63</w:t>
      </w:r>
      <w:r w:rsidRPr="00BD21BD">
        <w:rPr>
          <w:bCs/>
          <w:iCs/>
          <w:sz w:val="20"/>
          <w:szCs w:val="20"/>
        </w:rPr>
        <w:t>:419-423.</w:t>
      </w:r>
    </w:p>
    <w:p w:rsidR="002F5CD0" w:rsidRPr="00BD21BD" w:rsidRDefault="002F5CD0"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Easterfield TH (1900) Tutu: part I. Report, New Zealand Department of Agriculture, </w:t>
      </w:r>
      <w:r w:rsidR="009E2BD3" w:rsidRPr="00BD21BD">
        <w:rPr>
          <w:bCs/>
          <w:iCs/>
          <w:sz w:val="20"/>
          <w:szCs w:val="20"/>
        </w:rPr>
        <w:t xml:space="preserve">pp. </w:t>
      </w:r>
      <w:r w:rsidRPr="00BD21BD">
        <w:rPr>
          <w:bCs/>
          <w:iCs/>
          <w:sz w:val="20"/>
          <w:szCs w:val="20"/>
        </w:rPr>
        <w:t>137-144.</w:t>
      </w:r>
    </w:p>
    <w:p w:rsidR="00A128B3" w:rsidRPr="00BD21BD" w:rsidRDefault="00A128B3" w:rsidP="00A128B3">
      <w:pPr>
        <w:rPr>
          <w:bCs/>
          <w:iCs/>
          <w:sz w:val="20"/>
          <w:szCs w:val="20"/>
        </w:rPr>
      </w:pPr>
    </w:p>
    <w:p w:rsidR="00CC08C1" w:rsidRPr="00BD21BD" w:rsidRDefault="00CC08C1" w:rsidP="00A128B3">
      <w:pPr>
        <w:rPr>
          <w:bCs/>
          <w:iCs/>
          <w:sz w:val="20"/>
          <w:szCs w:val="20"/>
        </w:rPr>
      </w:pPr>
      <w:r w:rsidRPr="00BD21BD">
        <w:rPr>
          <w:bCs/>
          <w:iCs/>
          <w:sz w:val="20"/>
          <w:szCs w:val="20"/>
        </w:rPr>
        <w:t>Ellett S, Zhu W, Han DY, Karunasinghe N, Munday R, Ferguson LR (2011) Genetic toxicology report. Mouse bone marrow micronucleus tests for tutin, hyenanchin +dihydrohyenanchin and pure hyenanchin. Auckland Cancer Society Research Centre, Faculty of Medical and Health Sciences, University of Auckland, New Zealand; and AgResearch Ruakura Research Centre, East Street, Hamilton, New Zealand. Unpublished report.</w:t>
      </w:r>
    </w:p>
    <w:p w:rsidR="00CC08C1" w:rsidRPr="00BD21BD" w:rsidRDefault="00CC08C1" w:rsidP="00A128B3">
      <w:pPr>
        <w:rPr>
          <w:bCs/>
          <w:iCs/>
          <w:sz w:val="20"/>
          <w:szCs w:val="20"/>
        </w:rPr>
      </w:pPr>
    </w:p>
    <w:p w:rsidR="00A128B3" w:rsidRPr="00BD21BD" w:rsidRDefault="00A128B3" w:rsidP="00A128B3">
      <w:pPr>
        <w:rPr>
          <w:bCs/>
          <w:iCs/>
          <w:sz w:val="20"/>
          <w:szCs w:val="20"/>
        </w:rPr>
      </w:pPr>
      <w:r w:rsidRPr="00BD21BD">
        <w:rPr>
          <w:bCs/>
          <w:iCs/>
          <w:sz w:val="20"/>
          <w:szCs w:val="20"/>
        </w:rPr>
        <w:t>Erkkila BE, Sedelnikova AV, Weiss DS (2008) Stoichiometric pore mutations of the GABA</w:t>
      </w:r>
      <w:r w:rsidRPr="00BD21BD">
        <w:rPr>
          <w:bCs/>
          <w:iCs/>
          <w:sz w:val="20"/>
          <w:szCs w:val="20"/>
          <w:vertAlign w:val="subscript"/>
        </w:rPr>
        <w:t>A</w:t>
      </w:r>
      <w:r w:rsidRPr="00BD21BD">
        <w:rPr>
          <w:bCs/>
          <w:iCs/>
          <w:sz w:val="20"/>
          <w:szCs w:val="20"/>
        </w:rPr>
        <w:t xml:space="preserve">R reveal a pattern of hydrogen bonding with picrotoxin. </w:t>
      </w:r>
      <w:r w:rsidRPr="00BD21BD">
        <w:rPr>
          <w:bCs/>
          <w:i/>
          <w:iCs/>
          <w:sz w:val="20"/>
          <w:szCs w:val="20"/>
        </w:rPr>
        <w:t>Biophys J</w:t>
      </w:r>
      <w:r w:rsidRPr="00BD21BD">
        <w:rPr>
          <w:bCs/>
          <w:iCs/>
          <w:sz w:val="20"/>
          <w:szCs w:val="20"/>
        </w:rPr>
        <w:t xml:space="preserve">, </w:t>
      </w:r>
      <w:r w:rsidRPr="00BD21BD">
        <w:rPr>
          <w:b/>
          <w:bCs/>
          <w:iCs/>
          <w:sz w:val="20"/>
          <w:szCs w:val="20"/>
        </w:rPr>
        <w:t>94</w:t>
      </w:r>
      <w:r w:rsidRPr="00BD21BD">
        <w:rPr>
          <w:bCs/>
          <w:iCs/>
          <w:sz w:val="20"/>
          <w:szCs w:val="20"/>
        </w:rPr>
        <w:t>:4299-4306.</w:t>
      </w:r>
    </w:p>
    <w:p w:rsidR="001E4F47" w:rsidRPr="00BD21BD" w:rsidRDefault="001E4F47" w:rsidP="00A128B3">
      <w:pPr>
        <w:rPr>
          <w:bCs/>
          <w:iCs/>
          <w:sz w:val="20"/>
          <w:szCs w:val="20"/>
        </w:rPr>
      </w:pPr>
    </w:p>
    <w:p w:rsidR="0015192F" w:rsidRPr="00BD21BD" w:rsidRDefault="00FD0538" w:rsidP="00A128B3">
      <w:pPr>
        <w:rPr>
          <w:bCs/>
          <w:iCs/>
          <w:sz w:val="20"/>
          <w:szCs w:val="20"/>
        </w:rPr>
      </w:pPr>
      <w:r w:rsidRPr="00BD21BD">
        <w:rPr>
          <w:bCs/>
          <w:iCs/>
          <w:sz w:val="20"/>
          <w:szCs w:val="20"/>
        </w:rPr>
        <w:t>Fields BA, Reeve J, Ba</w:t>
      </w:r>
      <w:r w:rsidR="00432763" w:rsidRPr="00BD21BD">
        <w:rPr>
          <w:bCs/>
          <w:iCs/>
          <w:sz w:val="20"/>
          <w:szCs w:val="20"/>
        </w:rPr>
        <w:t>rtholomaeus A, Mueller U (2014)</w:t>
      </w:r>
      <w:r w:rsidRPr="00BD21BD">
        <w:rPr>
          <w:bCs/>
          <w:iCs/>
          <w:sz w:val="20"/>
          <w:szCs w:val="20"/>
        </w:rPr>
        <w:t xml:space="preserve"> Human pharmacoki</w:t>
      </w:r>
      <w:r w:rsidR="006757AC" w:rsidRPr="00BD21BD">
        <w:rPr>
          <w:bCs/>
          <w:iCs/>
          <w:sz w:val="20"/>
          <w:szCs w:val="20"/>
        </w:rPr>
        <w:t>netic study of tutin in honey</w:t>
      </w:r>
      <w:r w:rsidR="00752ED8" w:rsidRPr="00BD21BD">
        <w:rPr>
          <w:bCs/>
          <w:iCs/>
          <w:sz w:val="20"/>
          <w:szCs w:val="20"/>
        </w:rPr>
        <w:t xml:space="preserve">; </w:t>
      </w:r>
      <w:r w:rsidRPr="00BD21BD">
        <w:rPr>
          <w:bCs/>
          <w:iCs/>
          <w:sz w:val="20"/>
          <w:szCs w:val="20"/>
        </w:rPr>
        <w:t xml:space="preserve">a plant-derived neurotoxin. </w:t>
      </w:r>
      <w:r w:rsidR="0015192F" w:rsidRPr="00BD21BD">
        <w:rPr>
          <w:bCs/>
          <w:i/>
          <w:iCs/>
          <w:sz w:val="20"/>
          <w:szCs w:val="20"/>
        </w:rPr>
        <w:t>Food Chem Toxicol</w:t>
      </w:r>
      <w:r w:rsidR="0015192F" w:rsidRPr="00BD21BD">
        <w:rPr>
          <w:bCs/>
          <w:iCs/>
          <w:sz w:val="20"/>
          <w:szCs w:val="20"/>
        </w:rPr>
        <w:t xml:space="preserve">, </w:t>
      </w:r>
      <w:r w:rsidR="0015192F" w:rsidRPr="00BD21BD">
        <w:rPr>
          <w:b/>
          <w:bCs/>
          <w:iCs/>
          <w:sz w:val="20"/>
          <w:szCs w:val="20"/>
        </w:rPr>
        <w:t>72</w:t>
      </w:r>
      <w:r w:rsidR="0015192F" w:rsidRPr="00BD21BD">
        <w:rPr>
          <w:bCs/>
          <w:iCs/>
          <w:sz w:val="20"/>
          <w:szCs w:val="20"/>
        </w:rPr>
        <w:t>:234-241.</w:t>
      </w:r>
    </w:p>
    <w:p w:rsidR="00FD0538" w:rsidRPr="00BD21BD" w:rsidRDefault="0015192F" w:rsidP="00A128B3">
      <w:pPr>
        <w:rPr>
          <w:bCs/>
          <w:iCs/>
          <w:sz w:val="20"/>
          <w:szCs w:val="20"/>
        </w:rPr>
      </w:pPr>
      <w:r w:rsidRPr="00BD21BD" w:rsidDel="0015192F">
        <w:rPr>
          <w:bCs/>
          <w:iCs/>
          <w:sz w:val="20"/>
          <w:szCs w:val="20"/>
        </w:rPr>
        <w:t xml:space="preserve"> </w:t>
      </w:r>
    </w:p>
    <w:p w:rsidR="00A128B3" w:rsidRPr="00BD21BD" w:rsidRDefault="00A128B3" w:rsidP="00A128B3">
      <w:pPr>
        <w:rPr>
          <w:bCs/>
          <w:iCs/>
          <w:sz w:val="20"/>
          <w:szCs w:val="20"/>
        </w:rPr>
      </w:pPr>
      <w:r w:rsidRPr="00BD21BD">
        <w:rPr>
          <w:bCs/>
          <w:iCs/>
          <w:sz w:val="20"/>
          <w:szCs w:val="20"/>
        </w:rPr>
        <w:t xml:space="preserve">Fitchett F (1908) A contribution to our knowledge on the physiological action of tutin. </w:t>
      </w:r>
      <w:r w:rsidRPr="00BD21BD">
        <w:rPr>
          <w:bCs/>
          <w:i/>
          <w:iCs/>
          <w:sz w:val="20"/>
          <w:szCs w:val="20"/>
        </w:rPr>
        <w:t>Trans NZ Inst</w:t>
      </w:r>
      <w:r w:rsidRPr="00BD21BD">
        <w:rPr>
          <w:bCs/>
          <w:iCs/>
          <w:sz w:val="20"/>
          <w:szCs w:val="20"/>
        </w:rPr>
        <w:t>,</w:t>
      </w:r>
      <w:r w:rsidRPr="00BD21BD">
        <w:rPr>
          <w:b/>
          <w:bCs/>
          <w:iCs/>
          <w:sz w:val="20"/>
          <w:szCs w:val="20"/>
        </w:rPr>
        <w:t xml:space="preserve"> 41</w:t>
      </w:r>
      <w:r w:rsidRPr="00BD21BD">
        <w:rPr>
          <w:bCs/>
          <w:iCs/>
          <w:sz w:val="20"/>
          <w:szCs w:val="20"/>
        </w:rPr>
        <w:t>:286-366.</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Fitchett F and Malcolm J (1909) On the physiological action of tutin. </w:t>
      </w:r>
      <w:r w:rsidRPr="00BD21BD">
        <w:rPr>
          <w:bCs/>
          <w:i/>
          <w:iCs/>
          <w:sz w:val="20"/>
          <w:szCs w:val="20"/>
        </w:rPr>
        <w:t>Exp Physiol</w:t>
      </w:r>
      <w:r w:rsidRPr="00BD21BD">
        <w:rPr>
          <w:bCs/>
          <w:iCs/>
          <w:sz w:val="20"/>
          <w:szCs w:val="20"/>
        </w:rPr>
        <w:t xml:space="preserve">, </w:t>
      </w:r>
      <w:r w:rsidRPr="00BD21BD">
        <w:rPr>
          <w:b/>
          <w:bCs/>
          <w:iCs/>
          <w:sz w:val="20"/>
          <w:szCs w:val="20"/>
        </w:rPr>
        <w:t>2</w:t>
      </w:r>
      <w:r w:rsidRPr="00BD21BD">
        <w:rPr>
          <w:bCs/>
          <w:iCs/>
          <w:sz w:val="20"/>
          <w:szCs w:val="20"/>
        </w:rPr>
        <w:t>:335-362.</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Ford WW (1910) On the toxicology of the tutu plant. </w:t>
      </w:r>
      <w:r w:rsidRPr="00BD21BD">
        <w:rPr>
          <w:bCs/>
          <w:i/>
          <w:iCs/>
          <w:sz w:val="20"/>
          <w:szCs w:val="20"/>
        </w:rPr>
        <w:t>J Pharmacol Exp Therap</w:t>
      </w:r>
      <w:r w:rsidRPr="00BD21BD">
        <w:rPr>
          <w:bCs/>
          <w:iCs/>
          <w:sz w:val="20"/>
          <w:szCs w:val="20"/>
        </w:rPr>
        <w:t xml:space="preserve">, </w:t>
      </w:r>
      <w:r w:rsidRPr="00BD21BD">
        <w:rPr>
          <w:b/>
          <w:bCs/>
          <w:iCs/>
          <w:sz w:val="20"/>
          <w:szCs w:val="20"/>
        </w:rPr>
        <w:t>2</w:t>
      </w:r>
      <w:r w:rsidRPr="00BD21BD">
        <w:rPr>
          <w:bCs/>
          <w:iCs/>
          <w:sz w:val="20"/>
          <w:szCs w:val="20"/>
        </w:rPr>
        <w:t>:73-85.</w:t>
      </w:r>
    </w:p>
    <w:p w:rsidR="004A22BB" w:rsidRPr="00BD21BD" w:rsidRDefault="004A22BB" w:rsidP="00A128B3">
      <w:pPr>
        <w:rPr>
          <w:bCs/>
          <w:iCs/>
          <w:sz w:val="20"/>
          <w:szCs w:val="20"/>
        </w:rPr>
      </w:pPr>
    </w:p>
    <w:p w:rsidR="004A22BB" w:rsidRPr="00BD21BD" w:rsidRDefault="004A22BB" w:rsidP="00A128B3">
      <w:pPr>
        <w:rPr>
          <w:bCs/>
          <w:iCs/>
          <w:sz w:val="20"/>
          <w:szCs w:val="20"/>
        </w:rPr>
      </w:pPr>
      <w:r w:rsidRPr="00BD21BD">
        <w:rPr>
          <w:bCs/>
          <w:iCs/>
          <w:sz w:val="20"/>
          <w:szCs w:val="20"/>
        </w:rPr>
        <w:t xml:space="preserve">FSANZ (2014) </w:t>
      </w:r>
      <w:r w:rsidRPr="00BD21BD">
        <w:rPr>
          <w:bCs/>
          <w:i/>
          <w:iCs/>
          <w:sz w:val="20"/>
          <w:szCs w:val="20"/>
        </w:rPr>
        <w:t>Australia New Zealand Food Standards Code</w:t>
      </w:r>
      <w:r w:rsidRPr="00BD21BD">
        <w:rPr>
          <w:bCs/>
          <w:iCs/>
          <w:sz w:val="20"/>
          <w:szCs w:val="20"/>
        </w:rPr>
        <w:t xml:space="preserve"> - Standard 1.4.1 </w:t>
      </w:r>
      <w:r w:rsidR="000F7351" w:rsidRPr="00BD21BD">
        <w:rPr>
          <w:bCs/>
          <w:iCs/>
          <w:sz w:val="20"/>
          <w:szCs w:val="20"/>
        </w:rPr>
        <w:t>–</w:t>
      </w:r>
      <w:r w:rsidRPr="00BD21BD">
        <w:rPr>
          <w:bCs/>
          <w:iCs/>
          <w:sz w:val="20"/>
          <w:szCs w:val="20"/>
        </w:rPr>
        <w:t xml:space="preserve"> Contaminants and Natural Toxicants</w:t>
      </w:r>
      <w:r w:rsidR="00786EE6" w:rsidRPr="00BD21BD">
        <w:rPr>
          <w:bCs/>
          <w:iCs/>
          <w:sz w:val="20"/>
          <w:szCs w:val="20"/>
        </w:rPr>
        <w:t>. Available at:</w:t>
      </w:r>
      <w:r w:rsidRPr="00BD21BD">
        <w:rPr>
          <w:bCs/>
          <w:iCs/>
          <w:sz w:val="20"/>
          <w:szCs w:val="20"/>
        </w:rPr>
        <w:t xml:space="preserve"> </w:t>
      </w:r>
      <w:hyperlink r:id="rId20" w:history="1">
        <w:r w:rsidR="00786EE6" w:rsidRPr="00BD21BD">
          <w:rPr>
            <w:rStyle w:val="Hyperlink"/>
            <w:bCs/>
            <w:iCs/>
            <w:sz w:val="20"/>
            <w:szCs w:val="20"/>
          </w:rPr>
          <w:t>http://www.comlaw.gov.au/Series/F2008B00618</w:t>
        </w:r>
      </w:hyperlink>
    </w:p>
    <w:p w:rsidR="004A22BB" w:rsidRPr="00BD21BD" w:rsidRDefault="004A22BB"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Fuentealba J, Guzmán L, Manríquez-Navarro P, Pérez C, Silva M, Becerra J, Aguayo LG (2007) Inhibitory effects of tutin on glycine receptors in spinal neurons. </w:t>
      </w:r>
      <w:r w:rsidRPr="00BD21BD">
        <w:rPr>
          <w:bCs/>
          <w:i/>
          <w:iCs/>
          <w:sz w:val="20"/>
          <w:szCs w:val="20"/>
        </w:rPr>
        <w:t>Eur J Pharmacol</w:t>
      </w:r>
      <w:r w:rsidRPr="00BD21BD">
        <w:rPr>
          <w:bCs/>
          <w:iCs/>
          <w:sz w:val="20"/>
          <w:szCs w:val="20"/>
        </w:rPr>
        <w:t xml:space="preserve">, </w:t>
      </w:r>
      <w:r w:rsidRPr="00BD21BD">
        <w:rPr>
          <w:b/>
          <w:bCs/>
          <w:iCs/>
          <w:sz w:val="20"/>
          <w:szCs w:val="20"/>
        </w:rPr>
        <w:t>559</w:t>
      </w:r>
      <w:r w:rsidRPr="00BD21BD">
        <w:rPr>
          <w:bCs/>
          <w:iCs/>
          <w:sz w:val="20"/>
          <w:szCs w:val="20"/>
        </w:rPr>
        <w:t>:61-64.</w:t>
      </w:r>
    </w:p>
    <w:p w:rsidR="00784710" w:rsidRPr="00BD21BD" w:rsidRDefault="00784710" w:rsidP="00A128B3">
      <w:pPr>
        <w:rPr>
          <w:bCs/>
          <w:iCs/>
          <w:sz w:val="20"/>
          <w:szCs w:val="20"/>
        </w:rPr>
      </w:pPr>
    </w:p>
    <w:p w:rsidR="00680F3A" w:rsidRDefault="00680F3A" w:rsidP="00A128B3">
      <w:pPr>
        <w:rPr>
          <w:rFonts w:cs="Arial"/>
          <w:bCs/>
          <w:iCs/>
          <w:sz w:val="20"/>
          <w:szCs w:val="20"/>
        </w:rPr>
      </w:pPr>
      <w:r>
        <w:rPr>
          <w:rFonts w:cs="Arial"/>
          <w:bCs/>
          <w:iCs/>
          <w:sz w:val="20"/>
          <w:szCs w:val="20"/>
        </w:rPr>
        <w:br w:type="page"/>
      </w:r>
    </w:p>
    <w:p w:rsidR="00784710" w:rsidRPr="00BD21BD" w:rsidRDefault="00784710" w:rsidP="00A128B3">
      <w:pPr>
        <w:rPr>
          <w:bCs/>
          <w:iCs/>
          <w:sz w:val="20"/>
          <w:szCs w:val="20"/>
        </w:rPr>
      </w:pPr>
      <w:r w:rsidRPr="00BD21BD">
        <w:rPr>
          <w:rFonts w:cs="Arial"/>
          <w:bCs/>
          <w:iCs/>
          <w:sz w:val="20"/>
          <w:szCs w:val="20"/>
        </w:rPr>
        <w:lastRenderedPageBreak/>
        <w:t xml:space="preserve">Fuentealba J, Muñoz B, Yévenes G, Moraga-Cid G, Pérez C, Guzmán L, Rigo JM, Aguayo LG (2011) Potentiation and inhibition of glycine receptors by tutin. </w:t>
      </w:r>
      <w:r w:rsidRPr="00BD21BD">
        <w:rPr>
          <w:rFonts w:cs="Arial"/>
          <w:bCs/>
          <w:i/>
          <w:iCs/>
          <w:sz w:val="20"/>
          <w:szCs w:val="20"/>
        </w:rPr>
        <w:t>Neuropharmacology</w:t>
      </w:r>
      <w:r w:rsidR="00CC643D" w:rsidRPr="00BD21BD">
        <w:rPr>
          <w:rFonts w:cs="Arial"/>
          <w:bCs/>
          <w:iCs/>
          <w:sz w:val="20"/>
          <w:szCs w:val="20"/>
        </w:rPr>
        <w:t>,</w:t>
      </w:r>
      <w:r w:rsidRPr="00BD21BD">
        <w:rPr>
          <w:rFonts w:cs="Arial"/>
          <w:bCs/>
          <w:iCs/>
          <w:sz w:val="20"/>
          <w:szCs w:val="20"/>
        </w:rPr>
        <w:t xml:space="preserve"> </w:t>
      </w:r>
      <w:r w:rsidRPr="00BD21BD">
        <w:rPr>
          <w:rFonts w:cs="Arial"/>
          <w:b/>
          <w:bCs/>
          <w:iCs/>
          <w:sz w:val="20"/>
          <w:szCs w:val="20"/>
        </w:rPr>
        <w:t>60</w:t>
      </w:r>
      <w:r w:rsidRPr="00BD21BD">
        <w:rPr>
          <w:rFonts w:cs="Arial"/>
          <w:bCs/>
          <w:iCs/>
          <w:sz w:val="20"/>
          <w:szCs w:val="20"/>
        </w:rPr>
        <w:t>:453-459.</w:t>
      </w:r>
    </w:p>
    <w:p w:rsidR="00E64FE2" w:rsidRPr="00BD21BD" w:rsidRDefault="00E64FE2" w:rsidP="00A128B3">
      <w:pPr>
        <w:rPr>
          <w:bCs/>
          <w:iCs/>
          <w:sz w:val="20"/>
          <w:szCs w:val="20"/>
        </w:rPr>
      </w:pPr>
      <w:r w:rsidRPr="00BD21BD">
        <w:rPr>
          <w:bCs/>
          <w:iCs/>
          <w:sz w:val="20"/>
          <w:szCs w:val="20"/>
        </w:rPr>
        <w:t xml:space="preserve">Gardana C, Simonetti P, Canzi E, Zanchi R, Pietta P (2003) Metabolism of stevioside and rebaudioside A from </w:t>
      </w:r>
      <w:r w:rsidRPr="00BD21BD">
        <w:rPr>
          <w:bCs/>
          <w:i/>
          <w:iCs/>
          <w:sz w:val="20"/>
          <w:szCs w:val="20"/>
        </w:rPr>
        <w:t>Stevia rebaudiana</w:t>
      </w:r>
      <w:r w:rsidRPr="00BD21BD">
        <w:rPr>
          <w:bCs/>
          <w:iCs/>
          <w:sz w:val="20"/>
          <w:szCs w:val="20"/>
        </w:rPr>
        <w:t xml:space="preserve"> extracts by human microflora. </w:t>
      </w:r>
      <w:r w:rsidRPr="00BD21BD">
        <w:rPr>
          <w:bCs/>
          <w:i/>
          <w:iCs/>
          <w:sz w:val="20"/>
          <w:szCs w:val="20"/>
        </w:rPr>
        <w:t>J Agric Food Chem</w:t>
      </w:r>
      <w:r w:rsidRPr="00BD21BD">
        <w:rPr>
          <w:bCs/>
          <w:iCs/>
          <w:sz w:val="20"/>
          <w:szCs w:val="20"/>
        </w:rPr>
        <w:t xml:space="preserve">, </w:t>
      </w:r>
      <w:r w:rsidRPr="00BD21BD">
        <w:rPr>
          <w:b/>
          <w:bCs/>
          <w:iCs/>
          <w:sz w:val="20"/>
          <w:szCs w:val="20"/>
        </w:rPr>
        <w:t>51</w:t>
      </w:r>
      <w:r w:rsidRPr="00BD21BD">
        <w:rPr>
          <w:bCs/>
          <w:iCs/>
          <w:sz w:val="20"/>
          <w:szCs w:val="20"/>
        </w:rPr>
        <w:t>:6618-6622.</w:t>
      </w:r>
    </w:p>
    <w:p w:rsidR="00E64FE2" w:rsidRPr="00BD21BD" w:rsidRDefault="00E64FE2" w:rsidP="00A128B3">
      <w:pPr>
        <w:rPr>
          <w:bCs/>
          <w:iCs/>
          <w:sz w:val="20"/>
          <w:szCs w:val="20"/>
        </w:rPr>
      </w:pPr>
    </w:p>
    <w:p w:rsidR="0063365F" w:rsidRPr="00BD21BD" w:rsidRDefault="0063365F" w:rsidP="00A128B3">
      <w:pPr>
        <w:rPr>
          <w:bCs/>
          <w:iCs/>
          <w:sz w:val="20"/>
          <w:szCs w:val="20"/>
        </w:rPr>
      </w:pPr>
      <w:r w:rsidRPr="00BD21BD">
        <w:rPr>
          <w:bCs/>
          <w:iCs/>
          <w:sz w:val="20"/>
          <w:szCs w:val="20"/>
        </w:rPr>
        <w:t>Goodwin M (2013) A New Zealand History of Toxic Honey. Lightning Source UK Ltd, Milton Keynes, UK.</w:t>
      </w:r>
    </w:p>
    <w:p w:rsidR="0063365F" w:rsidRPr="00BD21BD" w:rsidRDefault="0063365F"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Hawthorne R, Lynch JW (2005) A picrotoxin-specific conformational change in the glycine receptor M2-M3 loop. </w:t>
      </w:r>
      <w:r w:rsidRPr="00BD21BD">
        <w:rPr>
          <w:bCs/>
          <w:i/>
          <w:iCs/>
          <w:sz w:val="20"/>
          <w:szCs w:val="20"/>
        </w:rPr>
        <w:t>J Biol Chem</w:t>
      </w:r>
      <w:r w:rsidRPr="00BD21BD">
        <w:rPr>
          <w:bCs/>
          <w:iCs/>
          <w:sz w:val="20"/>
          <w:szCs w:val="20"/>
        </w:rPr>
        <w:t xml:space="preserve">, </w:t>
      </w:r>
      <w:r w:rsidRPr="00BD21BD">
        <w:rPr>
          <w:b/>
          <w:bCs/>
          <w:iCs/>
          <w:sz w:val="20"/>
          <w:szCs w:val="20"/>
        </w:rPr>
        <w:t>280</w:t>
      </w:r>
      <w:r w:rsidRPr="00BD21BD">
        <w:rPr>
          <w:bCs/>
          <w:iCs/>
          <w:sz w:val="20"/>
          <w:szCs w:val="20"/>
        </w:rPr>
        <w:t>:35836-35843.</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Hibbs RE, Gouaux E (2011) Principles of activation and permeation in an anion-selective Cys-loop receptor. </w:t>
      </w:r>
      <w:r w:rsidRPr="00BD21BD">
        <w:rPr>
          <w:bCs/>
          <w:i/>
          <w:iCs/>
          <w:sz w:val="20"/>
          <w:szCs w:val="20"/>
        </w:rPr>
        <w:t>Nature</w:t>
      </w:r>
      <w:r w:rsidR="00CD2C6D" w:rsidRPr="00BD21BD">
        <w:rPr>
          <w:bCs/>
          <w:i/>
          <w:iCs/>
          <w:sz w:val="20"/>
          <w:szCs w:val="20"/>
        </w:rPr>
        <w:t>,</w:t>
      </w:r>
      <w:r w:rsidRPr="00BD21BD">
        <w:rPr>
          <w:bCs/>
          <w:iCs/>
          <w:sz w:val="20"/>
          <w:szCs w:val="20"/>
        </w:rPr>
        <w:t xml:space="preserve"> </w:t>
      </w:r>
      <w:r w:rsidRPr="00BD21BD">
        <w:rPr>
          <w:b/>
          <w:bCs/>
          <w:iCs/>
          <w:sz w:val="20"/>
          <w:szCs w:val="20"/>
        </w:rPr>
        <w:t>474</w:t>
      </w:r>
      <w:r w:rsidRPr="00BD21BD">
        <w:rPr>
          <w:bCs/>
          <w:iCs/>
          <w:sz w:val="20"/>
          <w:szCs w:val="20"/>
        </w:rPr>
        <w:t>:54-60.</w:t>
      </w:r>
    </w:p>
    <w:p w:rsidR="00A128B3" w:rsidRPr="00BD21BD" w:rsidRDefault="00A128B3" w:rsidP="00A128B3">
      <w:pPr>
        <w:rPr>
          <w:bCs/>
          <w:iCs/>
          <w:sz w:val="20"/>
          <w:szCs w:val="20"/>
        </w:rPr>
      </w:pPr>
    </w:p>
    <w:p w:rsidR="00221C3E" w:rsidRPr="00BD21BD" w:rsidRDefault="00221C3E" w:rsidP="00221C3E">
      <w:pPr>
        <w:rPr>
          <w:bCs/>
          <w:iCs/>
          <w:sz w:val="20"/>
          <w:szCs w:val="20"/>
        </w:rPr>
      </w:pPr>
      <w:r w:rsidRPr="00BD21BD">
        <w:rPr>
          <w:bCs/>
          <w:iCs/>
          <w:sz w:val="20"/>
          <w:szCs w:val="20"/>
        </w:rPr>
        <w:t xml:space="preserve">Hodges R, White EP (1966) Detection and isolation of tutin and hyenanchin in toxic honey. </w:t>
      </w:r>
      <w:r w:rsidRPr="00BD21BD">
        <w:rPr>
          <w:bCs/>
          <w:i/>
          <w:iCs/>
          <w:sz w:val="20"/>
          <w:szCs w:val="20"/>
        </w:rPr>
        <w:t>NZ J Sci</w:t>
      </w:r>
      <w:r w:rsidRPr="00BD21BD">
        <w:rPr>
          <w:bCs/>
          <w:iCs/>
          <w:sz w:val="20"/>
          <w:szCs w:val="20"/>
        </w:rPr>
        <w:t xml:space="preserve">, </w:t>
      </w:r>
      <w:r w:rsidRPr="00BD21BD">
        <w:rPr>
          <w:b/>
          <w:bCs/>
          <w:iCs/>
          <w:sz w:val="20"/>
          <w:szCs w:val="20"/>
        </w:rPr>
        <w:t>9</w:t>
      </w:r>
      <w:r w:rsidRPr="00BD21BD">
        <w:rPr>
          <w:bCs/>
          <w:iCs/>
          <w:sz w:val="20"/>
          <w:szCs w:val="20"/>
        </w:rPr>
        <w:t>:233-235.</w:t>
      </w:r>
    </w:p>
    <w:p w:rsidR="00221C3E" w:rsidRPr="00BD21BD" w:rsidRDefault="00221C3E"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Hosie AM, Ozoe Y, Koike K, Ohmoto T, Nikaido T, Sattelle DB (1996) Actions of picrodendrin antagonists on dieldrin-sensitive and -resistant </w:t>
      </w:r>
      <w:r w:rsidRPr="00BD21BD">
        <w:rPr>
          <w:bCs/>
          <w:i/>
          <w:iCs/>
          <w:sz w:val="20"/>
          <w:szCs w:val="20"/>
        </w:rPr>
        <w:t>Drosophila</w:t>
      </w:r>
      <w:r w:rsidRPr="00BD21BD">
        <w:rPr>
          <w:bCs/>
          <w:iCs/>
          <w:sz w:val="20"/>
          <w:szCs w:val="20"/>
        </w:rPr>
        <w:t xml:space="preserve"> GABA receptors. </w:t>
      </w:r>
      <w:r w:rsidRPr="00BD21BD">
        <w:rPr>
          <w:bCs/>
          <w:i/>
          <w:iCs/>
          <w:sz w:val="20"/>
          <w:szCs w:val="20"/>
        </w:rPr>
        <w:t>Br J Pharmacol</w:t>
      </w:r>
      <w:r w:rsidRPr="00BD21BD">
        <w:rPr>
          <w:bCs/>
          <w:iCs/>
          <w:sz w:val="20"/>
          <w:szCs w:val="20"/>
        </w:rPr>
        <w:t xml:space="preserve">, </w:t>
      </w:r>
      <w:r w:rsidRPr="00BD21BD">
        <w:rPr>
          <w:b/>
          <w:bCs/>
          <w:iCs/>
          <w:sz w:val="20"/>
          <w:szCs w:val="20"/>
        </w:rPr>
        <w:t>119</w:t>
      </w:r>
      <w:r w:rsidRPr="00BD21BD">
        <w:rPr>
          <w:bCs/>
          <w:iCs/>
          <w:sz w:val="20"/>
          <w:szCs w:val="20"/>
        </w:rPr>
        <w:t>:1569-1576.</w:t>
      </w:r>
    </w:p>
    <w:p w:rsidR="0038149A" w:rsidRPr="00BD21BD" w:rsidRDefault="0038149A" w:rsidP="00A128B3">
      <w:pPr>
        <w:rPr>
          <w:bCs/>
          <w:iCs/>
          <w:sz w:val="20"/>
          <w:szCs w:val="20"/>
        </w:rPr>
      </w:pPr>
    </w:p>
    <w:p w:rsidR="00466255" w:rsidRPr="00BD21BD" w:rsidRDefault="00466255" w:rsidP="00466255">
      <w:pPr>
        <w:rPr>
          <w:bCs/>
          <w:iCs/>
          <w:sz w:val="20"/>
          <w:szCs w:val="20"/>
        </w:rPr>
      </w:pPr>
      <w:r w:rsidRPr="00BD21BD">
        <w:rPr>
          <w:bCs/>
          <w:iCs/>
          <w:sz w:val="20"/>
          <w:szCs w:val="20"/>
        </w:rPr>
        <w:t>IPCS (2005) Chemical-specific adjustment factors for interspecies differences and human variability: guidance document for use of data in dose/concentration–response assessment (International Programme on Chemical Safety. Harmonization Project Document, No. 2).</w:t>
      </w:r>
    </w:p>
    <w:p w:rsidR="00466255" w:rsidRPr="00BD21BD" w:rsidRDefault="00CC28A5" w:rsidP="00466255">
      <w:pPr>
        <w:rPr>
          <w:bCs/>
          <w:iCs/>
          <w:sz w:val="20"/>
          <w:szCs w:val="20"/>
        </w:rPr>
      </w:pPr>
      <w:hyperlink r:id="rId21" w:history="1">
        <w:r w:rsidR="00466255" w:rsidRPr="00BD21BD">
          <w:rPr>
            <w:rStyle w:val="Hyperlink"/>
            <w:bCs/>
            <w:iCs/>
            <w:sz w:val="20"/>
            <w:szCs w:val="20"/>
          </w:rPr>
          <w:t>http://whqlibdoc.who.int/publications/2005/9241546786_eng.pdf</w:t>
        </w:r>
      </w:hyperlink>
    </w:p>
    <w:p w:rsidR="0038149A" w:rsidRPr="00BD21BD" w:rsidRDefault="0038149A"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Jarboe CH, Porter LA, Buckler RT (1968) Structural aspects of picrotoxinin action. </w:t>
      </w:r>
      <w:r w:rsidRPr="00BD21BD">
        <w:rPr>
          <w:bCs/>
          <w:i/>
          <w:iCs/>
          <w:sz w:val="20"/>
          <w:szCs w:val="20"/>
        </w:rPr>
        <w:t>J Med Chem</w:t>
      </w:r>
      <w:r w:rsidRPr="00BD21BD">
        <w:rPr>
          <w:bCs/>
          <w:iCs/>
          <w:sz w:val="20"/>
          <w:szCs w:val="20"/>
        </w:rPr>
        <w:t xml:space="preserve">, </w:t>
      </w:r>
      <w:r w:rsidRPr="00BD21BD">
        <w:rPr>
          <w:b/>
          <w:bCs/>
          <w:iCs/>
          <w:sz w:val="20"/>
          <w:szCs w:val="20"/>
        </w:rPr>
        <w:t>11</w:t>
      </w:r>
      <w:r w:rsidRPr="00BD21BD">
        <w:rPr>
          <w:bCs/>
          <w:iCs/>
          <w:sz w:val="20"/>
          <w:szCs w:val="20"/>
        </w:rPr>
        <w:t>:729-731.</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Kinoshita T, Itaki N, Hikita M, Aoyagi Y, Hitotsuyanagi Y, Takeya K (2005) The isolation and structure elucidation of a new sesquiterpene lactone from the poisonous plant </w:t>
      </w:r>
      <w:r w:rsidRPr="00BD21BD">
        <w:rPr>
          <w:bCs/>
          <w:i/>
          <w:iCs/>
          <w:sz w:val="20"/>
          <w:szCs w:val="20"/>
        </w:rPr>
        <w:t>Coriaria japonica</w:t>
      </w:r>
      <w:r w:rsidRPr="00BD21BD">
        <w:rPr>
          <w:bCs/>
          <w:iCs/>
          <w:sz w:val="20"/>
          <w:szCs w:val="20"/>
        </w:rPr>
        <w:t xml:space="preserve"> (Coriariaceae). </w:t>
      </w:r>
      <w:r w:rsidRPr="00BD21BD">
        <w:rPr>
          <w:bCs/>
          <w:i/>
          <w:iCs/>
          <w:sz w:val="20"/>
          <w:szCs w:val="20"/>
        </w:rPr>
        <w:t>Chem Pharm Bull (Tokyo)</w:t>
      </w:r>
      <w:r w:rsidRPr="00BD21BD">
        <w:rPr>
          <w:bCs/>
          <w:iCs/>
          <w:sz w:val="20"/>
          <w:szCs w:val="20"/>
        </w:rPr>
        <w:t xml:space="preserve">, </w:t>
      </w:r>
      <w:r w:rsidRPr="00BD21BD">
        <w:rPr>
          <w:b/>
          <w:bCs/>
          <w:iCs/>
          <w:sz w:val="20"/>
          <w:szCs w:val="20"/>
        </w:rPr>
        <w:t>53</w:t>
      </w:r>
      <w:r w:rsidRPr="00BD21BD">
        <w:rPr>
          <w:bCs/>
          <w:iCs/>
          <w:sz w:val="20"/>
          <w:szCs w:val="20"/>
        </w:rPr>
        <w:t>:1040-1042.</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 xml:space="preserve">Larsen L, Sansom C (2009) Isolation of tutin from </w:t>
      </w:r>
      <w:r w:rsidRPr="00BD21BD">
        <w:rPr>
          <w:bCs/>
          <w:i/>
          <w:iCs/>
          <w:sz w:val="20"/>
          <w:szCs w:val="20"/>
        </w:rPr>
        <w:t>Coriaria</w:t>
      </w:r>
      <w:r w:rsidRPr="00BD21BD">
        <w:rPr>
          <w:bCs/>
          <w:iCs/>
          <w:sz w:val="20"/>
          <w:szCs w:val="20"/>
        </w:rPr>
        <w:t xml:space="preserve"> sp. foliage for the New Zealand Food Safety Authority. Plant and Food Research, New Zealand. January 2009. Unpublished report.</w:t>
      </w:r>
    </w:p>
    <w:p w:rsidR="00A128B3" w:rsidRPr="00BD21BD" w:rsidRDefault="00A128B3" w:rsidP="00A128B3">
      <w:pPr>
        <w:rPr>
          <w:bCs/>
          <w:iCs/>
          <w:sz w:val="20"/>
          <w:szCs w:val="20"/>
        </w:rPr>
      </w:pPr>
    </w:p>
    <w:p w:rsidR="00A128B3" w:rsidRPr="00BD21BD" w:rsidRDefault="00A128B3" w:rsidP="00A128B3">
      <w:pPr>
        <w:rPr>
          <w:bCs/>
          <w:iCs/>
          <w:sz w:val="20"/>
          <w:szCs w:val="20"/>
        </w:rPr>
      </w:pPr>
      <w:r w:rsidRPr="00BD21BD">
        <w:rPr>
          <w:bCs/>
          <w:iCs/>
          <w:sz w:val="20"/>
          <w:szCs w:val="20"/>
        </w:rPr>
        <w:t>Lees G, Khanh TB (2009) Molecular toxicology of hyenanchin and dihydrohyenanchin compared directly to tutin. Department of Pharmacology &amp; Toxicology, Otago School of Medical Sciences, University of Otago, Dunedin, New Zealand. Unpublished report.</w:t>
      </w:r>
    </w:p>
    <w:p w:rsidR="00A128B3" w:rsidRPr="00BD21BD" w:rsidRDefault="00A128B3" w:rsidP="00A128B3">
      <w:pPr>
        <w:rPr>
          <w:bCs/>
          <w:iCs/>
          <w:sz w:val="20"/>
          <w:szCs w:val="20"/>
        </w:rPr>
      </w:pPr>
    </w:p>
    <w:p w:rsidR="0096251D" w:rsidRPr="00BD21BD" w:rsidRDefault="0096251D" w:rsidP="00A128B3">
      <w:pPr>
        <w:rPr>
          <w:bCs/>
          <w:iCs/>
          <w:sz w:val="20"/>
          <w:szCs w:val="20"/>
        </w:rPr>
      </w:pPr>
      <w:r w:rsidRPr="00BD21BD">
        <w:rPr>
          <w:bCs/>
          <w:iCs/>
          <w:sz w:val="20"/>
          <w:szCs w:val="20"/>
        </w:rPr>
        <w:t xml:space="preserve">Love JL (1990) Toxic honey - a New Zealand story. </w:t>
      </w:r>
      <w:r w:rsidRPr="00BD21BD">
        <w:rPr>
          <w:bCs/>
          <w:i/>
          <w:iCs/>
          <w:sz w:val="20"/>
          <w:szCs w:val="20"/>
        </w:rPr>
        <w:t>Analytical Proceedings</w:t>
      </w:r>
      <w:r w:rsidRPr="00BD21BD">
        <w:rPr>
          <w:bCs/>
          <w:iCs/>
          <w:sz w:val="20"/>
          <w:szCs w:val="20"/>
        </w:rPr>
        <w:t xml:space="preserve">, </w:t>
      </w:r>
      <w:r w:rsidRPr="00BD21BD">
        <w:rPr>
          <w:b/>
          <w:bCs/>
          <w:iCs/>
          <w:sz w:val="20"/>
          <w:szCs w:val="20"/>
        </w:rPr>
        <w:t>27</w:t>
      </w:r>
      <w:r w:rsidRPr="00BD21BD">
        <w:rPr>
          <w:bCs/>
          <w:iCs/>
          <w:sz w:val="20"/>
          <w:szCs w:val="20"/>
        </w:rPr>
        <w:t>:87-89.</w:t>
      </w:r>
    </w:p>
    <w:p w:rsidR="0096251D" w:rsidRPr="00BD21BD" w:rsidRDefault="0096251D" w:rsidP="00A128B3">
      <w:pPr>
        <w:rPr>
          <w:bCs/>
          <w:iCs/>
          <w:sz w:val="20"/>
          <w:szCs w:val="20"/>
        </w:rPr>
      </w:pPr>
    </w:p>
    <w:p w:rsidR="00F97515" w:rsidRPr="00BD21BD" w:rsidRDefault="00F97515" w:rsidP="00A128B3">
      <w:pPr>
        <w:rPr>
          <w:bCs/>
          <w:iCs/>
          <w:sz w:val="20"/>
          <w:szCs w:val="20"/>
        </w:rPr>
      </w:pPr>
      <w:r w:rsidRPr="00BD21BD">
        <w:rPr>
          <w:bCs/>
          <w:iCs/>
          <w:sz w:val="20"/>
          <w:szCs w:val="20"/>
        </w:rPr>
        <w:t xml:space="preserve">Malcolm J (1919) On the toxicity of tutu fruit and seed. </w:t>
      </w:r>
      <w:r w:rsidRPr="00BD21BD">
        <w:rPr>
          <w:bCs/>
          <w:i/>
          <w:iCs/>
          <w:sz w:val="20"/>
          <w:szCs w:val="20"/>
        </w:rPr>
        <w:t>Transactions of the New Zealand Institute</w:t>
      </w:r>
      <w:r w:rsidRPr="00BD21BD">
        <w:rPr>
          <w:bCs/>
          <w:iCs/>
          <w:sz w:val="20"/>
          <w:szCs w:val="20"/>
        </w:rPr>
        <w:t xml:space="preserve">, </w:t>
      </w:r>
      <w:r w:rsidR="005760A3" w:rsidRPr="00BD21BD">
        <w:rPr>
          <w:b/>
          <w:bCs/>
          <w:iCs/>
          <w:sz w:val="20"/>
          <w:szCs w:val="20"/>
        </w:rPr>
        <w:t>51</w:t>
      </w:r>
      <w:r w:rsidR="005760A3" w:rsidRPr="00BD21BD">
        <w:rPr>
          <w:bCs/>
          <w:iCs/>
          <w:sz w:val="20"/>
          <w:szCs w:val="20"/>
        </w:rPr>
        <w:t>:</w:t>
      </w:r>
      <w:r w:rsidRPr="00BD21BD">
        <w:rPr>
          <w:bCs/>
          <w:iCs/>
          <w:sz w:val="20"/>
          <w:szCs w:val="20"/>
        </w:rPr>
        <w:t>1-5.</w:t>
      </w:r>
    </w:p>
    <w:p w:rsidR="00F97515" w:rsidRPr="00BD21BD" w:rsidRDefault="00F97515" w:rsidP="00A128B3">
      <w:pPr>
        <w:rPr>
          <w:bCs/>
          <w:iCs/>
          <w:sz w:val="20"/>
          <w:szCs w:val="20"/>
        </w:rPr>
      </w:pPr>
    </w:p>
    <w:p w:rsidR="00A128B3" w:rsidRPr="00BD21BD" w:rsidRDefault="00A128B3" w:rsidP="00A128B3">
      <w:pPr>
        <w:rPr>
          <w:bCs/>
          <w:iCs/>
          <w:sz w:val="20"/>
          <w:szCs w:val="20"/>
        </w:rPr>
      </w:pPr>
      <w:r w:rsidRPr="00BD21BD">
        <w:rPr>
          <w:bCs/>
          <w:iCs/>
          <w:sz w:val="20"/>
          <w:szCs w:val="20"/>
        </w:rPr>
        <w:t>McNaughton DE, Goodwin RM (2008) Reducing the threat Tutu toxic tutu honey poses to the New Zealand beekeeping industry and consumers. The Horticulture and Food Research Institute of New Zealand Ltd, HortResearch, Hamilton, New Zealand. June 2008.</w:t>
      </w:r>
      <w:r w:rsidR="00786EE6" w:rsidRPr="00BD21BD">
        <w:rPr>
          <w:bCs/>
          <w:iCs/>
          <w:sz w:val="20"/>
          <w:szCs w:val="20"/>
        </w:rPr>
        <w:t xml:space="preserve"> Available at:</w:t>
      </w:r>
      <w:r w:rsidR="00724D39" w:rsidRPr="00BD21BD">
        <w:rPr>
          <w:bCs/>
          <w:iCs/>
          <w:sz w:val="20"/>
          <w:szCs w:val="20"/>
        </w:rPr>
        <w:t xml:space="preserve"> </w:t>
      </w:r>
      <w:hyperlink r:id="rId22" w:history="1">
        <w:r w:rsidRPr="00BD21BD">
          <w:rPr>
            <w:rStyle w:val="Hyperlink"/>
            <w:bCs/>
            <w:iCs/>
            <w:sz w:val="20"/>
            <w:szCs w:val="20"/>
          </w:rPr>
          <w:t>http://www.maf.govt.nz/sff/about-projects/search/L07-041/technical-report.pdf</w:t>
        </w:r>
      </w:hyperlink>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 xml:space="preserve">Momtaz S, Lall N, Hussein A, Ostad SN, Abdollahi M (2010) Investigation of the possible biological activities of a poisonous South African plant; </w:t>
      </w:r>
      <w:r w:rsidRPr="00BD21BD">
        <w:rPr>
          <w:i/>
          <w:sz w:val="20"/>
          <w:szCs w:val="20"/>
        </w:rPr>
        <w:t>Hyaenanche globosa</w:t>
      </w:r>
      <w:r w:rsidRPr="00BD21BD">
        <w:rPr>
          <w:sz w:val="20"/>
          <w:szCs w:val="20"/>
        </w:rPr>
        <w:t xml:space="preserve"> (</w:t>
      </w:r>
      <w:r w:rsidRPr="00BD21BD">
        <w:rPr>
          <w:i/>
          <w:sz w:val="20"/>
          <w:szCs w:val="20"/>
        </w:rPr>
        <w:t>Euphorbiaceae</w:t>
      </w:r>
      <w:r w:rsidRPr="00BD21BD">
        <w:rPr>
          <w:sz w:val="20"/>
          <w:szCs w:val="20"/>
        </w:rPr>
        <w:t xml:space="preserve">). </w:t>
      </w:r>
      <w:r w:rsidRPr="00BD21BD">
        <w:rPr>
          <w:i/>
          <w:sz w:val="20"/>
          <w:szCs w:val="20"/>
        </w:rPr>
        <w:t>Pharmacognosy Magazine</w:t>
      </w:r>
      <w:r w:rsidRPr="00BD21BD">
        <w:rPr>
          <w:sz w:val="20"/>
          <w:szCs w:val="20"/>
        </w:rPr>
        <w:t xml:space="preserve">, </w:t>
      </w:r>
      <w:r w:rsidRPr="00BD21BD">
        <w:rPr>
          <w:b/>
          <w:sz w:val="20"/>
          <w:szCs w:val="20"/>
        </w:rPr>
        <w:t>6</w:t>
      </w:r>
      <w:r w:rsidRPr="00BD21BD">
        <w:rPr>
          <w:sz w:val="20"/>
          <w:szCs w:val="20"/>
        </w:rPr>
        <w:t>:34-41.</w:t>
      </w:r>
    </w:p>
    <w:p w:rsidR="00A128B3" w:rsidRPr="00BD21BD" w:rsidRDefault="00A128B3" w:rsidP="00A128B3">
      <w:pPr>
        <w:rPr>
          <w:sz w:val="20"/>
          <w:szCs w:val="20"/>
        </w:rPr>
      </w:pPr>
    </w:p>
    <w:p w:rsidR="00A128B3" w:rsidRPr="00BD21BD" w:rsidRDefault="00A128B3" w:rsidP="00A128B3">
      <w:pPr>
        <w:rPr>
          <w:bCs/>
          <w:iCs/>
          <w:sz w:val="20"/>
          <w:szCs w:val="20"/>
        </w:rPr>
      </w:pPr>
      <w:r w:rsidRPr="00BD21BD">
        <w:rPr>
          <w:sz w:val="20"/>
          <w:szCs w:val="20"/>
        </w:rPr>
        <w:t xml:space="preserve">Munday R (2008a) Approaches toward risk assessment of the honey contaminant, tutin. AgResearch,Hamilton, New Zealand. April 2008. Published as an Appendix to </w:t>
      </w:r>
      <w:r w:rsidRPr="00BD21BD">
        <w:rPr>
          <w:bCs/>
          <w:iCs/>
          <w:sz w:val="20"/>
          <w:szCs w:val="20"/>
        </w:rPr>
        <w:t>McNaughton and Goodwin (2008).</w:t>
      </w:r>
    </w:p>
    <w:p w:rsidR="00A128B3" w:rsidRPr="00BD21BD" w:rsidRDefault="00A128B3" w:rsidP="00A128B3">
      <w:pPr>
        <w:rPr>
          <w:bCs/>
          <w:iCs/>
          <w:sz w:val="20"/>
          <w:szCs w:val="20"/>
        </w:rPr>
      </w:pPr>
    </w:p>
    <w:p w:rsidR="00044238" w:rsidRDefault="00044238">
      <w:pPr>
        <w:widowControl/>
        <w:rPr>
          <w:bCs/>
          <w:iCs/>
          <w:sz w:val="20"/>
          <w:szCs w:val="20"/>
        </w:rPr>
      </w:pPr>
      <w:r>
        <w:rPr>
          <w:bCs/>
          <w:iCs/>
          <w:sz w:val="20"/>
          <w:szCs w:val="20"/>
        </w:rPr>
        <w:br w:type="page"/>
      </w:r>
    </w:p>
    <w:p w:rsidR="00A128B3" w:rsidRPr="00BD21BD" w:rsidRDefault="00A128B3" w:rsidP="00A128B3">
      <w:pPr>
        <w:rPr>
          <w:sz w:val="20"/>
          <w:szCs w:val="20"/>
        </w:rPr>
      </w:pPr>
      <w:r w:rsidRPr="00BD21BD">
        <w:rPr>
          <w:bCs/>
          <w:iCs/>
          <w:sz w:val="20"/>
          <w:szCs w:val="20"/>
        </w:rPr>
        <w:lastRenderedPageBreak/>
        <w:t>Munday R (2008b) Acute toxicity of hyenanchin in mice.</w:t>
      </w:r>
      <w:r w:rsidRPr="00BD21BD">
        <w:rPr>
          <w:sz w:val="20"/>
          <w:szCs w:val="20"/>
        </w:rPr>
        <w:t xml:space="preserve"> AgResearch,Hamilton, New Zealand. November 2008. Unpublished report.</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Munday R (2009) Cumulative toxicity of tutin in mice. AgResearch,Hamilton, New Zealand. October 2009. Unpublished report.</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 xml:space="preserve">Munday R (2010) Acute toxicity of tutin and its derivatives found in toxic honey. Report to the New Zealand Food Safety Authority. </w:t>
      </w:r>
      <w:r w:rsidR="00851789" w:rsidRPr="00BD21BD">
        <w:rPr>
          <w:sz w:val="20"/>
          <w:szCs w:val="20"/>
        </w:rPr>
        <w:t xml:space="preserve">No. </w:t>
      </w:r>
      <w:r w:rsidRPr="00BD21BD">
        <w:rPr>
          <w:sz w:val="20"/>
          <w:szCs w:val="20"/>
        </w:rPr>
        <w:t>AGFH 01245. December 2010.</w:t>
      </w:r>
      <w:r w:rsidR="00E63684" w:rsidRPr="00BD21BD">
        <w:rPr>
          <w:sz w:val="20"/>
          <w:szCs w:val="20"/>
        </w:rPr>
        <w:t xml:space="preserve"> Unpublished report.</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Munday R (2011) Acute toxicity to mice of an hyenanchin-dihydrohyenanchin mixture. AgResearch,Hamilton, New Zealand. February 2011. Unpublished report.</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NZFSA (2008) Tutin in honey. NZFSA Public Discussion Paper; no. 09/08. 31 October 2008.</w:t>
      </w:r>
      <w:r w:rsidR="00786EE6" w:rsidRPr="00BD21BD">
        <w:rPr>
          <w:sz w:val="20"/>
          <w:szCs w:val="20"/>
        </w:rPr>
        <w:t xml:space="preserve"> Available at:</w:t>
      </w:r>
    </w:p>
    <w:p w:rsidR="00A128B3" w:rsidRPr="00BD21BD" w:rsidRDefault="00CC28A5" w:rsidP="00A128B3">
      <w:pPr>
        <w:rPr>
          <w:sz w:val="20"/>
          <w:szCs w:val="20"/>
        </w:rPr>
      </w:pPr>
      <w:hyperlink r:id="rId23" w:history="1">
        <w:r w:rsidR="00FD3021" w:rsidRPr="00BD21BD">
          <w:rPr>
            <w:rStyle w:val="Hyperlink"/>
            <w:sz w:val="20"/>
            <w:szCs w:val="20"/>
          </w:rPr>
          <w:t>http://www.foodsafety.govt.nz/elibrary/industry/tutin-honey-cover-letter/tutin-in-honey-discussion-paper-final-for-web.pdf</w:t>
        </w:r>
      </w:hyperlink>
    </w:p>
    <w:p w:rsidR="00FD3021" w:rsidRPr="00BD21BD" w:rsidRDefault="00FD3021" w:rsidP="00A128B3">
      <w:pPr>
        <w:rPr>
          <w:sz w:val="20"/>
          <w:szCs w:val="20"/>
        </w:rPr>
      </w:pPr>
    </w:p>
    <w:p w:rsidR="00A128B3" w:rsidRPr="00BD21BD" w:rsidRDefault="00A128B3" w:rsidP="00A128B3">
      <w:pPr>
        <w:rPr>
          <w:sz w:val="20"/>
          <w:szCs w:val="20"/>
        </w:rPr>
      </w:pPr>
      <w:r w:rsidRPr="00BD21BD">
        <w:rPr>
          <w:sz w:val="20"/>
          <w:szCs w:val="20"/>
        </w:rPr>
        <w:t>OECD (1997</w:t>
      </w:r>
      <w:r w:rsidR="00BF19DE" w:rsidRPr="00BD21BD">
        <w:rPr>
          <w:sz w:val="20"/>
          <w:szCs w:val="20"/>
        </w:rPr>
        <w:t>a</w:t>
      </w:r>
      <w:r w:rsidRPr="00BD21BD">
        <w:rPr>
          <w:sz w:val="20"/>
          <w:szCs w:val="20"/>
        </w:rPr>
        <w:t>) OECD guideline for testing of chemicals. Number 471: Bacterial Reverse Mutation Test. Organisation for Economic Cooperation and Development. 1997.</w:t>
      </w:r>
    </w:p>
    <w:p w:rsidR="00BF19DE" w:rsidRPr="00BD21BD" w:rsidRDefault="00BF19DE" w:rsidP="00A128B3">
      <w:pPr>
        <w:rPr>
          <w:sz w:val="20"/>
          <w:szCs w:val="20"/>
        </w:rPr>
      </w:pPr>
    </w:p>
    <w:p w:rsidR="00BF19DE" w:rsidRPr="00BD21BD" w:rsidRDefault="00BF19DE" w:rsidP="00BF19DE">
      <w:pPr>
        <w:rPr>
          <w:sz w:val="20"/>
          <w:szCs w:val="20"/>
        </w:rPr>
      </w:pPr>
      <w:r w:rsidRPr="00BD21BD">
        <w:rPr>
          <w:sz w:val="20"/>
          <w:szCs w:val="20"/>
        </w:rPr>
        <w:t>OECD (1997b) OECD guideline for testing of chemicals. Number 474. Mammalian Erythrocyte Micronucleus Test. Organisation for Economic Cooperation and Development. 1997.</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OECD (2001) OECD guideline for testing of chemicals. Number 425: Acute oral toxicity – up and down procedure, Organisation for Economic Cooperation and Development. 2001.</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Olsen RW (2006) Picrotoxin-like channel blockers of GABA</w:t>
      </w:r>
      <w:r w:rsidRPr="00BD21BD">
        <w:rPr>
          <w:sz w:val="20"/>
          <w:szCs w:val="20"/>
          <w:vertAlign w:val="subscript"/>
        </w:rPr>
        <w:t>A</w:t>
      </w:r>
      <w:r w:rsidRPr="00BD21BD">
        <w:rPr>
          <w:sz w:val="20"/>
          <w:szCs w:val="20"/>
        </w:rPr>
        <w:t xml:space="preserve"> receptors. </w:t>
      </w:r>
      <w:r w:rsidRPr="00BD21BD">
        <w:rPr>
          <w:i/>
          <w:sz w:val="20"/>
          <w:szCs w:val="20"/>
        </w:rPr>
        <w:t>Proc Natl Acad Sci USA</w:t>
      </w:r>
      <w:r w:rsidRPr="00BD21BD">
        <w:rPr>
          <w:sz w:val="20"/>
          <w:szCs w:val="20"/>
        </w:rPr>
        <w:t xml:space="preserve">, </w:t>
      </w:r>
      <w:r w:rsidRPr="00BD21BD">
        <w:rPr>
          <w:b/>
          <w:sz w:val="20"/>
          <w:szCs w:val="20"/>
        </w:rPr>
        <w:t>103</w:t>
      </w:r>
      <w:r w:rsidRPr="00BD21BD">
        <w:rPr>
          <w:sz w:val="20"/>
          <w:szCs w:val="20"/>
        </w:rPr>
        <w:t>:6081-6082.</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 xml:space="preserve">Ozoe Y, Akamatsu M, Higata T, Ikeda I, Mochida K, Koike K, Ohmoto T, Nikaido T (1998) Picrodendrin and related terpenoid antagonists reveal structural differences between ionotropic GABA receptors of mammals and insects. </w:t>
      </w:r>
      <w:r w:rsidRPr="00BD21BD">
        <w:rPr>
          <w:i/>
          <w:sz w:val="20"/>
          <w:szCs w:val="20"/>
        </w:rPr>
        <w:t>Bioorg Med Chem</w:t>
      </w:r>
      <w:r w:rsidRPr="00BD21BD">
        <w:rPr>
          <w:sz w:val="20"/>
          <w:szCs w:val="20"/>
        </w:rPr>
        <w:t xml:space="preserve">, </w:t>
      </w:r>
      <w:r w:rsidRPr="00BD21BD">
        <w:rPr>
          <w:b/>
          <w:sz w:val="20"/>
          <w:szCs w:val="20"/>
        </w:rPr>
        <w:t>6</w:t>
      </w:r>
      <w:r w:rsidRPr="00BD21BD">
        <w:rPr>
          <w:sz w:val="20"/>
          <w:szCs w:val="20"/>
        </w:rPr>
        <w:t>:481-492.</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 xml:space="preserve">Pagnon J, Karunasinghe N, Ferguson LR (2009) </w:t>
      </w:r>
      <w:r w:rsidRPr="00BD21BD">
        <w:rPr>
          <w:bCs/>
          <w:sz w:val="20"/>
          <w:szCs w:val="20"/>
        </w:rPr>
        <w:t>Genetic Toxicology Report. Ames bacterial mutagenicity tests for tutin and hyenanchin + dihydrohyenanchin. Auckland Cancer Society Research Centre, Faculty of Medical and Health Sciences, University of Auckland, New Zealand. 11 September 2009. Unpublished report.</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 xml:space="preserve">Palmer-Jones T (1947a) A recent outbreak of honey poisoning. Part I. Historical and descriptive. </w:t>
      </w:r>
      <w:r w:rsidRPr="00BD21BD">
        <w:rPr>
          <w:i/>
          <w:sz w:val="20"/>
          <w:szCs w:val="20"/>
        </w:rPr>
        <w:t>NZ J Sci Technol</w:t>
      </w:r>
      <w:r w:rsidRPr="00BD21BD">
        <w:rPr>
          <w:sz w:val="20"/>
          <w:szCs w:val="20"/>
        </w:rPr>
        <w:t xml:space="preserve">, </w:t>
      </w:r>
      <w:r w:rsidRPr="00BD21BD">
        <w:rPr>
          <w:b/>
          <w:sz w:val="20"/>
          <w:szCs w:val="20"/>
        </w:rPr>
        <w:t>29A</w:t>
      </w:r>
      <w:r w:rsidRPr="00BD21BD">
        <w:rPr>
          <w:sz w:val="20"/>
          <w:szCs w:val="20"/>
        </w:rPr>
        <w:t>:107-114.</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 xml:space="preserve">Palmer-Jones T (1947b) A recent outbreak of honey poisoning. Part III. The toxicology of the poisonous honey and the antagonism of tutin, mellitoxin, and picrotoxin by barbiturates. </w:t>
      </w:r>
      <w:r w:rsidRPr="00BD21BD">
        <w:rPr>
          <w:i/>
          <w:sz w:val="20"/>
          <w:szCs w:val="20"/>
        </w:rPr>
        <w:t>NZ J Sci Technol,</w:t>
      </w:r>
      <w:r w:rsidRPr="00BD21BD">
        <w:rPr>
          <w:sz w:val="20"/>
          <w:szCs w:val="20"/>
        </w:rPr>
        <w:t xml:space="preserve"> </w:t>
      </w:r>
      <w:r w:rsidRPr="00BD21BD">
        <w:rPr>
          <w:b/>
          <w:sz w:val="20"/>
          <w:szCs w:val="20"/>
        </w:rPr>
        <w:t>29A</w:t>
      </w:r>
      <w:r w:rsidRPr="00BD21BD">
        <w:rPr>
          <w:sz w:val="20"/>
          <w:szCs w:val="20"/>
        </w:rPr>
        <w:t>:121-129.</w:t>
      </w:r>
    </w:p>
    <w:p w:rsidR="00724D39" w:rsidRPr="00BD21BD" w:rsidRDefault="00724D39" w:rsidP="00A128B3">
      <w:pPr>
        <w:rPr>
          <w:sz w:val="20"/>
          <w:szCs w:val="20"/>
        </w:rPr>
      </w:pPr>
    </w:p>
    <w:p w:rsidR="00A128B3" w:rsidRPr="00BD21BD" w:rsidRDefault="00A128B3" w:rsidP="00A128B3">
      <w:pPr>
        <w:rPr>
          <w:sz w:val="20"/>
          <w:szCs w:val="20"/>
        </w:rPr>
      </w:pPr>
      <w:r w:rsidRPr="00BD21BD">
        <w:rPr>
          <w:sz w:val="20"/>
          <w:szCs w:val="20"/>
        </w:rPr>
        <w:t>Palmer-Jones T and White EP (1949) A recent outbreak of honey poisoning. Part VII. Observations on the toxicity and toxin of the tutu (</w:t>
      </w:r>
      <w:r w:rsidRPr="00BD21BD">
        <w:rPr>
          <w:i/>
          <w:sz w:val="20"/>
          <w:szCs w:val="20"/>
        </w:rPr>
        <w:t>Coriaria arborea Lindsay</w:t>
      </w:r>
      <w:r w:rsidRPr="00BD21BD">
        <w:rPr>
          <w:sz w:val="20"/>
          <w:szCs w:val="20"/>
        </w:rPr>
        <w:t xml:space="preserve">). </w:t>
      </w:r>
      <w:r w:rsidRPr="00BD21BD">
        <w:rPr>
          <w:i/>
          <w:sz w:val="20"/>
          <w:szCs w:val="20"/>
        </w:rPr>
        <w:t>NZ J Sci Technol,</w:t>
      </w:r>
      <w:r w:rsidRPr="00BD21BD">
        <w:rPr>
          <w:sz w:val="20"/>
          <w:szCs w:val="20"/>
        </w:rPr>
        <w:t xml:space="preserve"> </w:t>
      </w:r>
      <w:r w:rsidRPr="00BD21BD">
        <w:rPr>
          <w:b/>
          <w:sz w:val="20"/>
          <w:szCs w:val="20"/>
        </w:rPr>
        <w:t>31</w:t>
      </w:r>
      <w:r w:rsidRPr="00BD21BD">
        <w:rPr>
          <w:sz w:val="20"/>
          <w:szCs w:val="20"/>
        </w:rPr>
        <w:t>:46-56.</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 xml:space="preserve">Palmer-Jones (1965) Poisonous honey overseas and in New Zealand. </w:t>
      </w:r>
      <w:r w:rsidRPr="00BD21BD">
        <w:rPr>
          <w:i/>
          <w:sz w:val="20"/>
          <w:szCs w:val="20"/>
        </w:rPr>
        <w:t>NZ Med J</w:t>
      </w:r>
      <w:r w:rsidRPr="00BD21BD">
        <w:rPr>
          <w:sz w:val="20"/>
          <w:szCs w:val="20"/>
        </w:rPr>
        <w:t xml:space="preserve">, </w:t>
      </w:r>
      <w:r w:rsidRPr="00BD21BD">
        <w:rPr>
          <w:b/>
          <w:sz w:val="20"/>
          <w:szCs w:val="20"/>
        </w:rPr>
        <w:t>64</w:t>
      </w:r>
      <w:r w:rsidRPr="00BD21BD">
        <w:rPr>
          <w:sz w:val="20"/>
          <w:szCs w:val="20"/>
        </w:rPr>
        <w:t>:631-637.</w:t>
      </w:r>
    </w:p>
    <w:p w:rsidR="00400A91" w:rsidRPr="00BD21BD" w:rsidRDefault="00400A91" w:rsidP="00A128B3">
      <w:pPr>
        <w:rPr>
          <w:sz w:val="20"/>
          <w:szCs w:val="20"/>
        </w:rPr>
      </w:pPr>
    </w:p>
    <w:p w:rsidR="00400A91" w:rsidRPr="00BD21BD" w:rsidRDefault="00400A91" w:rsidP="00A128B3">
      <w:pPr>
        <w:rPr>
          <w:sz w:val="20"/>
          <w:szCs w:val="20"/>
        </w:rPr>
      </w:pPr>
      <w:r w:rsidRPr="00BD21BD">
        <w:rPr>
          <w:sz w:val="20"/>
          <w:szCs w:val="20"/>
        </w:rPr>
        <w:t xml:space="preserve">Paterson CR (1947) A recent outbreak of honey poisoning. Part IV. The source of the toxic honey - field observations. </w:t>
      </w:r>
      <w:r w:rsidRPr="00BD21BD">
        <w:rPr>
          <w:i/>
          <w:sz w:val="20"/>
          <w:szCs w:val="20"/>
        </w:rPr>
        <w:t>NZ J Sci Technol</w:t>
      </w:r>
      <w:r w:rsidRPr="00BD21BD">
        <w:rPr>
          <w:sz w:val="20"/>
          <w:szCs w:val="20"/>
        </w:rPr>
        <w:t xml:space="preserve">, </w:t>
      </w:r>
      <w:r w:rsidRPr="00BD21BD">
        <w:rPr>
          <w:b/>
          <w:sz w:val="20"/>
          <w:szCs w:val="20"/>
        </w:rPr>
        <w:t>29</w:t>
      </w:r>
      <w:r w:rsidRPr="00BD21BD">
        <w:rPr>
          <w:sz w:val="20"/>
          <w:szCs w:val="20"/>
        </w:rPr>
        <w:t>:125-129.</w:t>
      </w:r>
    </w:p>
    <w:p w:rsidR="0064553C" w:rsidRPr="00BD21BD" w:rsidRDefault="0064553C" w:rsidP="00A128B3">
      <w:pPr>
        <w:rPr>
          <w:sz w:val="20"/>
          <w:szCs w:val="20"/>
        </w:rPr>
      </w:pPr>
    </w:p>
    <w:p w:rsidR="0064553C" w:rsidRPr="00BD21BD" w:rsidRDefault="0064553C" w:rsidP="0064553C">
      <w:pPr>
        <w:rPr>
          <w:sz w:val="20"/>
          <w:szCs w:val="20"/>
        </w:rPr>
      </w:pPr>
      <w:r w:rsidRPr="00BD21BD">
        <w:rPr>
          <w:sz w:val="20"/>
          <w:szCs w:val="20"/>
        </w:rPr>
        <w:t>Perry NB, Aiyaz M, Kerr DS, Lake RJ, Leach MT (2001) NOESY on neurotoxins: NMR and</w:t>
      </w:r>
    </w:p>
    <w:p w:rsidR="0064553C" w:rsidRPr="00BD21BD" w:rsidRDefault="0064553C" w:rsidP="0064553C">
      <w:pPr>
        <w:rPr>
          <w:sz w:val="20"/>
          <w:szCs w:val="20"/>
        </w:rPr>
      </w:pPr>
      <w:r w:rsidRPr="00BD21BD">
        <w:rPr>
          <w:sz w:val="20"/>
          <w:szCs w:val="20"/>
        </w:rPr>
        <w:t xml:space="preserve">conformational assignments of picrotoxins. </w:t>
      </w:r>
      <w:r w:rsidRPr="00BD21BD">
        <w:rPr>
          <w:i/>
          <w:sz w:val="20"/>
          <w:szCs w:val="20"/>
        </w:rPr>
        <w:t>Phytochemical Analysis</w:t>
      </w:r>
      <w:r w:rsidR="004165CA" w:rsidRPr="00BD21BD">
        <w:rPr>
          <w:sz w:val="20"/>
          <w:szCs w:val="20"/>
        </w:rPr>
        <w:t>,</w:t>
      </w:r>
      <w:r w:rsidRPr="00BD21BD">
        <w:rPr>
          <w:sz w:val="20"/>
          <w:szCs w:val="20"/>
        </w:rPr>
        <w:t xml:space="preserve"> </w:t>
      </w:r>
      <w:r w:rsidRPr="00BD21BD">
        <w:rPr>
          <w:b/>
          <w:sz w:val="20"/>
          <w:szCs w:val="20"/>
        </w:rPr>
        <w:t>12</w:t>
      </w:r>
      <w:r w:rsidRPr="00BD21BD">
        <w:rPr>
          <w:sz w:val="20"/>
          <w:szCs w:val="20"/>
        </w:rPr>
        <w:t>:69-72.</w:t>
      </w:r>
    </w:p>
    <w:p w:rsidR="00A128B3" w:rsidRPr="00BD21BD" w:rsidRDefault="00A128B3" w:rsidP="00A128B3">
      <w:pPr>
        <w:rPr>
          <w:sz w:val="20"/>
          <w:szCs w:val="20"/>
        </w:rPr>
      </w:pPr>
    </w:p>
    <w:p w:rsidR="007277BF" w:rsidRPr="00BD21BD" w:rsidRDefault="007277BF" w:rsidP="00A128B3">
      <w:pPr>
        <w:rPr>
          <w:sz w:val="20"/>
          <w:szCs w:val="20"/>
        </w:rPr>
      </w:pPr>
      <w:r w:rsidRPr="00BD21BD">
        <w:rPr>
          <w:sz w:val="20"/>
          <w:szCs w:val="20"/>
        </w:rPr>
        <w:t xml:space="preserve">Sansom CE, Cooney JM, Perry NB, Jensen DJ (2013) Hydrolysis of tutin glycosides in toxic honey using enzymes and acid. Unpublished report by The New Zealand Institute for Plant &amp; Food Research Limited. </w:t>
      </w:r>
      <w:r w:rsidR="00A227ED" w:rsidRPr="00BD21BD">
        <w:rPr>
          <w:sz w:val="20"/>
          <w:szCs w:val="20"/>
        </w:rPr>
        <w:t>Unpublished report p</w:t>
      </w:r>
      <w:r w:rsidRPr="00BD21BD">
        <w:rPr>
          <w:sz w:val="20"/>
          <w:szCs w:val="20"/>
        </w:rPr>
        <w:t>repared for New Zealand Ministry for Primary Industries. October 2013.</w:t>
      </w:r>
    </w:p>
    <w:p w:rsidR="007277BF" w:rsidRPr="00BD21BD" w:rsidRDefault="007277BF" w:rsidP="00A128B3">
      <w:pPr>
        <w:rPr>
          <w:sz w:val="20"/>
          <w:szCs w:val="20"/>
        </w:rPr>
      </w:pPr>
    </w:p>
    <w:p w:rsidR="00A128B3" w:rsidRPr="00BD21BD" w:rsidRDefault="00A128B3" w:rsidP="00A128B3">
      <w:pPr>
        <w:rPr>
          <w:sz w:val="20"/>
          <w:szCs w:val="20"/>
        </w:rPr>
      </w:pPr>
      <w:r w:rsidRPr="00BD21BD">
        <w:rPr>
          <w:sz w:val="20"/>
          <w:szCs w:val="20"/>
        </w:rPr>
        <w:lastRenderedPageBreak/>
        <w:t xml:space="preserve">Shen YH, Li SH, Li RT, Han QB, Zhao QS, Liang L, Sun HD, Lu Y, Cao P, Zheng QT (2004) Coriatone and corianlactone, two novel sesquiterpenes from </w:t>
      </w:r>
      <w:r w:rsidRPr="00BD21BD">
        <w:rPr>
          <w:i/>
          <w:sz w:val="20"/>
          <w:szCs w:val="20"/>
        </w:rPr>
        <w:t>Coriaria nepalensis</w:t>
      </w:r>
      <w:r w:rsidRPr="00BD21BD">
        <w:rPr>
          <w:sz w:val="20"/>
          <w:szCs w:val="20"/>
        </w:rPr>
        <w:t>.</w:t>
      </w:r>
      <w:r w:rsidRPr="00BD21BD">
        <w:rPr>
          <w:i/>
          <w:sz w:val="20"/>
          <w:szCs w:val="20"/>
        </w:rPr>
        <w:t xml:space="preserve"> Org</w:t>
      </w:r>
      <w:r w:rsidR="00752ED8" w:rsidRPr="00BD21BD">
        <w:rPr>
          <w:i/>
          <w:sz w:val="20"/>
          <w:szCs w:val="20"/>
        </w:rPr>
        <w:t>anic</w:t>
      </w:r>
      <w:r w:rsidRPr="00BD21BD">
        <w:rPr>
          <w:i/>
          <w:sz w:val="20"/>
          <w:szCs w:val="20"/>
        </w:rPr>
        <w:t xml:space="preserve"> Lett</w:t>
      </w:r>
      <w:r w:rsidR="00752ED8" w:rsidRPr="00BD21BD">
        <w:rPr>
          <w:i/>
          <w:sz w:val="20"/>
          <w:szCs w:val="20"/>
        </w:rPr>
        <w:t>ers</w:t>
      </w:r>
      <w:r w:rsidRPr="00BD21BD">
        <w:rPr>
          <w:sz w:val="20"/>
          <w:szCs w:val="20"/>
        </w:rPr>
        <w:t xml:space="preserve">, </w:t>
      </w:r>
      <w:r w:rsidRPr="00BD21BD">
        <w:rPr>
          <w:b/>
          <w:sz w:val="20"/>
          <w:szCs w:val="20"/>
        </w:rPr>
        <w:t>6</w:t>
      </w:r>
      <w:r w:rsidRPr="00BD21BD">
        <w:rPr>
          <w:sz w:val="20"/>
          <w:szCs w:val="20"/>
        </w:rPr>
        <w:t>;1593-1595.</w:t>
      </w:r>
    </w:p>
    <w:p w:rsidR="00A128B3" w:rsidRPr="00BD21BD" w:rsidRDefault="00A128B3" w:rsidP="00A128B3">
      <w:pPr>
        <w:rPr>
          <w:sz w:val="20"/>
          <w:szCs w:val="20"/>
        </w:rPr>
      </w:pPr>
    </w:p>
    <w:p w:rsidR="0088351E" w:rsidRPr="00BD21BD" w:rsidRDefault="0088351E" w:rsidP="0088351E">
      <w:pPr>
        <w:rPr>
          <w:sz w:val="20"/>
          <w:szCs w:val="20"/>
        </w:rPr>
      </w:pPr>
      <w:r w:rsidRPr="00BD21BD">
        <w:rPr>
          <w:sz w:val="20"/>
          <w:szCs w:val="20"/>
        </w:rPr>
        <w:t xml:space="preserve">Sutherland MD, Palmer-Jones T (1947a) A recent outbreak of honey poisoning. Part II. The toxic substances of the poisonous honey. </w:t>
      </w:r>
      <w:r w:rsidRPr="00BD21BD">
        <w:rPr>
          <w:i/>
          <w:sz w:val="20"/>
          <w:szCs w:val="20"/>
        </w:rPr>
        <w:t>NZ J Sci Technol</w:t>
      </w:r>
      <w:r w:rsidRPr="00BD21BD">
        <w:rPr>
          <w:sz w:val="20"/>
          <w:szCs w:val="20"/>
        </w:rPr>
        <w:t xml:space="preserve">, </w:t>
      </w:r>
      <w:r w:rsidRPr="00BD21BD">
        <w:rPr>
          <w:b/>
          <w:sz w:val="20"/>
          <w:szCs w:val="20"/>
        </w:rPr>
        <w:t>29</w:t>
      </w:r>
      <w:r w:rsidRPr="00BD21BD">
        <w:rPr>
          <w:sz w:val="20"/>
          <w:szCs w:val="20"/>
        </w:rPr>
        <w:t>:114-120.</w:t>
      </w:r>
    </w:p>
    <w:p w:rsidR="0088351E" w:rsidRPr="00BD21BD" w:rsidRDefault="0088351E" w:rsidP="00A128B3">
      <w:pPr>
        <w:rPr>
          <w:sz w:val="20"/>
          <w:szCs w:val="20"/>
        </w:rPr>
      </w:pPr>
    </w:p>
    <w:p w:rsidR="002B46DA" w:rsidRPr="00BD21BD" w:rsidRDefault="002B46DA" w:rsidP="002B46DA">
      <w:pPr>
        <w:rPr>
          <w:sz w:val="20"/>
          <w:szCs w:val="20"/>
        </w:rPr>
      </w:pPr>
      <w:r w:rsidRPr="00BD21BD">
        <w:rPr>
          <w:sz w:val="20"/>
          <w:szCs w:val="20"/>
        </w:rPr>
        <w:t xml:space="preserve">Sutherland MD, Palmer-Jones T (1947b) A recent outbreak of honey poisoning. Part V. The source of the toxic honey – laboratory investigations. NZ J Sci Technol, </w:t>
      </w:r>
      <w:r w:rsidRPr="00BD21BD">
        <w:rPr>
          <w:b/>
          <w:sz w:val="20"/>
          <w:szCs w:val="20"/>
        </w:rPr>
        <w:t>29</w:t>
      </w:r>
      <w:r w:rsidRPr="00BD21BD">
        <w:rPr>
          <w:sz w:val="20"/>
          <w:szCs w:val="20"/>
        </w:rPr>
        <w:t>-129-134.</w:t>
      </w:r>
    </w:p>
    <w:p w:rsidR="002B46DA" w:rsidRPr="00BD21BD" w:rsidRDefault="002B46DA" w:rsidP="00A128B3">
      <w:pPr>
        <w:rPr>
          <w:sz w:val="20"/>
          <w:szCs w:val="20"/>
        </w:rPr>
      </w:pPr>
    </w:p>
    <w:p w:rsidR="00A128B3" w:rsidRPr="00BD21BD" w:rsidRDefault="00A128B3" w:rsidP="00A128B3">
      <w:pPr>
        <w:rPr>
          <w:sz w:val="20"/>
          <w:szCs w:val="20"/>
        </w:rPr>
      </w:pPr>
      <w:r w:rsidRPr="00BD21BD">
        <w:rPr>
          <w:sz w:val="20"/>
          <w:szCs w:val="20"/>
        </w:rPr>
        <w:t xml:space="preserve">Sutherland MD (1992) New Zealand toxic honey – the actual story. </w:t>
      </w:r>
      <w:r w:rsidRPr="00BD21BD">
        <w:rPr>
          <w:i/>
          <w:sz w:val="20"/>
          <w:szCs w:val="20"/>
        </w:rPr>
        <w:t>Anal</w:t>
      </w:r>
      <w:r w:rsidR="00752ED8" w:rsidRPr="00BD21BD">
        <w:rPr>
          <w:i/>
          <w:sz w:val="20"/>
          <w:szCs w:val="20"/>
        </w:rPr>
        <w:t>ytical</w:t>
      </w:r>
      <w:r w:rsidRPr="00BD21BD">
        <w:rPr>
          <w:i/>
          <w:sz w:val="20"/>
          <w:szCs w:val="20"/>
        </w:rPr>
        <w:t xml:space="preserve"> Proc</w:t>
      </w:r>
      <w:r w:rsidR="00752ED8" w:rsidRPr="00BD21BD">
        <w:rPr>
          <w:i/>
          <w:sz w:val="20"/>
          <w:szCs w:val="20"/>
        </w:rPr>
        <w:t>eedings</w:t>
      </w:r>
      <w:r w:rsidRPr="00BD21BD">
        <w:rPr>
          <w:sz w:val="20"/>
          <w:szCs w:val="20"/>
        </w:rPr>
        <w:t xml:space="preserve">, </w:t>
      </w:r>
      <w:r w:rsidRPr="00BD21BD">
        <w:rPr>
          <w:b/>
          <w:sz w:val="20"/>
          <w:szCs w:val="20"/>
        </w:rPr>
        <w:t>29</w:t>
      </w:r>
      <w:r w:rsidRPr="00BD21BD">
        <w:rPr>
          <w:sz w:val="20"/>
          <w:szCs w:val="20"/>
        </w:rPr>
        <w:t>:112-115.</w:t>
      </w:r>
    </w:p>
    <w:p w:rsidR="0088351E" w:rsidRPr="00BD21BD" w:rsidRDefault="0088351E" w:rsidP="00A128B3">
      <w:pPr>
        <w:rPr>
          <w:sz w:val="20"/>
          <w:szCs w:val="20"/>
        </w:rPr>
      </w:pPr>
    </w:p>
    <w:p w:rsidR="00A128B3" w:rsidRPr="00BD21BD" w:rsidRDefault="00A128B3" w:rsidP="00A128B3">
      <w:pPr>
        <w:rPr>
          <w:sz w:val="20"/>
          <w:szCs w:val="20"/>
        </w:rPr>
      </w:pPr>
      <w:r w:rsidRPr="00BD21BD">
        <w:rPr>
          <w:sz w:val="20"/>
          <w:szCs w:val="20"/>
        </w:rPr>
        <w:t xml:space="preserve">Swanson EE (1940) Tutin: Its pharmacological action and its antagonism with sodium amytal. </w:t>
      </w:r>
      <w:r w:rsidRPr="00BD21BD">
        <w:rPr>
          <w:i/>
          <w:sz w:val="20"/>
          <w:szCs w:val="20"/>
        </w:rPr>
        <w:t>J Am Pharm Ass</w:t>
      </w:r>
      <w:r w:rsidRPr="00BD21BD">
        <w:rPr>
          <w:sz w:val="20"/>
          <w:szCs w:val="20"/>
        </w:rPr>
        <w:t xml:space="preserve">, </w:t>
      </w:r>
      <w:r w:rsidRPr="00BD21BD">
        <w:rPr>
          <w:b/>
          <w:sz w:val="20"/>
          <w:szCs w:val="20"/>
        </w:rPr>
        <w:t>29</w:t>
      </w:r>
      <w:r w:rsidRPr="00BD21BD">
        <w:rPr>
          <w:sz w:val="20"/>
          <w:szCs w:val="20"/>
        </w:rPr>
        <w:t>:2-4.</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Swallow WH, Curtis JF, Clinch PG, Turner JC (198</w:t>
      </w:r>
      <w:r w:rsidR="00511C39" w:rsidRPr="00BD21BD">
        <w:rPr>
          <w:sz w:val="20"/>
          <w:szCs w:val="20"/>
        </w:rPr>
        <w:t>0</w:t>
      </w:r>
      <w:r w:rsidRPr="00BD21BD">
        <w:rPr>
          <w:sz w:val="20"/>
          <w:szCs w:val="20"/>
        </w:rPr>
        <w:t xml:space="preserve">) Estimation of tutin and hyenanchin in honey. 4. Comparison of a new gas chromatographic method with intracerebral injection of mice. </w:t>
      </w:r>
      <w:r w:rsidRPr="00BD21BD">
        <w:rPr>
          <w:i/>
          <w:sz w:val="20"/>
          <w:szCs w:val="20"/>
        </w:rPr>
        <w:t>NZ J Sci Technol</w:t>
      </w:r>
      <w:r w:rsidRPr="00BD21BD">
        <w:rPr>
          <w:sz w:val="20"/>
          <w:szCs w:val="20"/>
        </w:rPr>
        <w:t xml:space="preserve">, </w:t>
      </w:r>
      <w:r w:rsidRPr="00BD21BD">
        <w:rPr>
          <w:b/>
          <w:sz w:val="20"/>
          <w:szCs w:val="20"/>
        </w:rPr>
        <w:t>23</w:t>
      </w:r>
      <w:r w:rsidRPr="00BD21BD">
        <w:rPr>
          <w:sz w:val="20"/>
          <w:szCs w:val="20"/>
        </w:rPr>
        <w:t>:365-369.</w:t>
      </w:r>
    </w:p>
    <w:p w:rsidR="00A128B3" w:rsidRPr="00BD21BD" w:rsidRDefault="00A128B3" w:rsidP="00A128B3">
      <w:pPr>
        <w:rPr>
          <w:sz w:val="20"/>
          <w:szCs w:val="20"/>
        </w:rPr>
      </w:pPr>
    </w:p>
    <w:p w:rsidR="00A128B3" w:rsidRPr="00BD21BD" w:rsidRDefault="00A128B3" w:rsidP="00A128B3">
      <w:pPr>
        <w:rPr>
          <w:sz w:val="20"/>
          <w:szCs w:val="20"/>
        </w:rPr>
      </w:pPr>
      <w:r w:rsidRPr="00BD21BD">
        <w:rPr>
          <w:sz w:val="20"/>
          <w:szCs w:val="20"/>
        </w:rPr>
        <w:t>Wei</w:t>
      </w:r>
      <w:r w:rsidR="0044355F" w:rsidRPr="00BD21BD">
        <w:rPr>
          <w:sz w:val="20"/>
          <w:szCs w:val="20"/>
        </w:rPr>
        <w:t xml:space="preserve"> H, Zeng F, Lu M, Tang R (1998)</w:t>
      </w:r>
      <w:r w:rsidRPr="00BD21BD">
        <w:rPr>
          <w:sz w:val="20"/>
          <w:szCs w:val="20"/>
        </w:rPr>
        <w:t xml:space="preserve"> Studies on chemical constituents from the root of </w:t>
      </w:r>
      <w:r w:rsidRPr="00BD21BD">
        <w:rPr>
          <w:i/>
          <w:sz w:val="20"/>
          <w:szCs w:val="20"/>
        </w:rPr>
        <w:t>Coriaria nepalensis</w:t>
      </w:r>
      <w:r w:rsidRPr="00BD21BD">
        <w:rPr>
          <w:sz w:val="20"/>
          <w:szCs w:val="20"/>
        </w:rPr>
        <w:t xml:space="preserve"> Wall (</w:t>
      </w:r>
      <w:r w:rsidRPr="00BD21BD">
        <w:rPr>
          <w:i/>
          <w:sz w:val="20"/>
          <w:szCs w:val="20"/>
        </w:rPr>
        <w:t>Coriaria sinica</w:t>
      </w:r>
      <w:r w:rsidRPr="00BD21BD">
        <w:rPr>
          <w:sz w:val="20"/>
          <w:szCs w:val="20"/>
        </w:rPr>
        <w:t xml:space="preserve"> Maxim), </w:t>
      </w:r>
      <w:r w:rsidRPr="00BD21BD">
        <w:rPr>
          <w:i/>
          <w:sz w:val="20"/>
          <w:szCs w:val="20"/>
        </w:rPr>
        <w:t>Yao Xue Xue Bao</w:t>
      </w:r>
      <w:r w:rsidRPr="00BD21BD">
        <w:rPr>
          <w:sz w:val="20"/>
          <w:szCs w:val="20"/>
        </w:rPr>
        <w:t xml:space="preserve">, </w:t>
      </w:r>
      <w:r w:rsidRPr="00BD21BD">
        <w:rPr>
          <w:b/>
          <w:sz w:val="20"/>
          <w:szCs w:val="20"/>
        </w:rPr>
        <w:t>33</w:t>
      </w:r>
      <w:r w:rsidRPr="00BD21BD">
        <w:rPr>
          <w:sz w:val="20"/>
          <w:szCs w:val="20"/>
        </w:rPr>
        <w:t>:688-692. [Article in Chinese. Abstract available in English].</w:t>
      </w:r>
    </w:p>
    <w:p w:rsidR="00406614" w:rsidRPr="00BD21BD" w:rsidRDefault="00406614" w:rsidP="00A128B3">
      <w:pPr>
        <w:rPr>
          <w:sz w:val="20"/>
          <w:szCs w:val="20"/>
        </w:rPr>
      </w:pPr>
    </w:p>
    <w:p w:rsidR="00F65536" w:rsidRPr="00BD21BD" w:rsidRDefault="00F65536" w:rsidP="00F65536">
      <w:pPr>
        <w:rPr>
          <w:sz w:val="20"/>
          <w:szCs w:val="20"/>
        </w:rPr>
      </w:pPr>
      <w:r w:rsidRPr="00BD21BD">
        <w:rPr>
          <w:sz w:val="20"/>
          <w:szCs w:val="20"/>
        </w:rPr>
        <w:t>Yáñez J.A., Remsberg C.M., Sayre C.L., Forrest M.L., Davies N.M. (2011) Flip-flop</w:t>
      </w:r>
    </w:p>
    <w:p w:rsidR="00F65536" w:rsidRPr="00BD21BD" w:rsidRDefault="00F65536" w:rsidP="00F65536">
      <w:pPr>
        <w:rPr>
          <w:sz w:val="20"/>
          <w:szCs w:val="20"/>
        </w:rPr>
      </w:pPr>
      <w:r w:rsidRPr="00BD21BD">
        <w:rPr>
          <w:sz w:val="20"/>
          <w:szCs w:val="20"/>
        </w:rPr>
        <w:t>pharmacokinetics – delivering a reversal of disposition: challenges and opportunities during</w:t>
      </w:r>
    </w:p>
    <w:p w:rsidR="00F65536" w:rsidRPr="00BD21BD" w:rsidRDefault="00F65536" w:rsidP="00F65536">
      <w:pPr>
        <w:rPr>
          <w:sz w:val="20"/>
          <w:szCs w:val="20"/>
        </w:rPr>
      </w:pPr>
      <w:r w:rsidRPr="00BD21BD">
        <w:rPr>
          <w:sz w:val="20"/>
          <w:szCs w:val="20"/>
        </w:rPr>
        <w:t xml:space="preserve">drug development. </w:t>
      </w:r>
      <w:r w:rsidRPr="00BD21BD">
        <w:rPr>
          <w:i/>
          <w:sz w:val="20"/>
          <w:szCs w:val="20"/>
        </w:rPr>
        <w:t>Ther Deliv</w:t>
      </w:r>
      <w:r w:rsidRPr="00BD21BD">
        <w:rPr>
          <w:sz w:val="20"/>
          <w:szCs w:val="20"/>
        </w:rPr>
        <w:t xml:space="preserve">, </w:t>
      </w:r>
      <w:r w:rsidRPr="00BD21BD">
        <w:rPr>
          <w:b/>
          <w:sz w:val="20"/>
          <w:szCs w:val="20"/>
        </w:rPr>
        <w:t>2</w:t>
      </w:r>
      <w:r w:rsidRPr="00BD21BD">
        <w:rPr>
          <w:sz w:val="20"/>
          <w:szCs w:val="20"/>
        </w:rPr>
        <w:t>:643–672.</w:t>
      </w:r>
    </w:p>
    <w:p w:rsidR="001E4F47" w:rsidRPr="00BD21BD" w:rsidRDefault="001E4F47" w:rsidP="00406614">
      <w:pPr>
        <w:rPr>
          <w:sz w:val="20"/>
          <w:szCs w:val="20"/>
        </w:rPr>
      </w:pPr>
    </w:p>
    <w:p w:rsidR="00406614" w:rsidRPr="00BD21BD" w:rsidRDefault="00406614" w:rsidP="00406614">
      <w:pPr>
        <w:rPr>
          <w:sz w:val="20"/>
          <w:szCs w:val="20"/>
        </w:rPr>
      </w:pPr>
      <w:r w:rsidRPr="00BD21BD">
        <w:rPr>
          <w:sz w:val="20"/>
          <w:szCs w:val="20"/>
        </w:rPr>
        <w:t xml:space="preserve">Zhang Y, Huo M, Zhou J, Xie S (2010) PKSolver: An add-in program for pharmacokinetic and pharmacodynamic data analysis in Microsoft Excel. </w:t>
      </w:r>
      <w:r w:rsidRPr="00BD21BD">
        <w:rPr>
          <w:i/>
          <w:sz w:val="20"/>
          <w:szCs w:val="20"/>
        </w:rPr>
        <w:t>Comput. Methods Programs Biomed</w:t>
      </w:r>
      <w:r w:rsidRPr="00BD21BD">
        <w:rPr>
          <w:sz w:val="20"/>
          <w:szCs w:val="20"/>
        </w:rPr>
        <w:t xml:space="preserve">, </w:t>
      </w:r>
      <w:r w:rsidRPr="00BD21BD">
        <w:rPr>
          <w:b/>
          <w:sz w:val="20"/>
          <w:szCs w:val="20"/>
        </w:rPr>
        <w:t>99</w:t>
      </w:r>
      <w:r w:rsidRPr="00BD21BD">
        <w:rPr>
          <w:sz w:val="20"/>
          <w:szCs w:val="20"/>
        </w:rPr>
        <w:t>:306-314.</w:t>
      </w:r>
    </w:p>
    <w:p w:rsidR="00406614" w:rsidRPr="00A128B3" w:rsidRDefault="00406614" w:rsidP="00A128B3"/>
    <w:p w:rsidR="00A128B3" w:rsidRPr="00A128B3" w:rsidRDefault="00A128B3" w:rsidP="00A128B3"/>
    <w:p w:rsidR="00A128B3" w:rsidRPr="00A128B3" w:rsidRDefault="00A128B3" w:rsidP="00A128B3">
      <w:r w:rsidRPr="00A128B3">
        <w:br w:type="page"/>
      </w:r>
    </w:p>
    <w:p w:rsidR="00A128B3" w:rsidRPr="00A128B3" w:rsidRDefault="00A128B3" w:rsidP="00C46C9B">
      <w:pPr>
        <w:pStyle w:val="Heading1"/>
      </w:pPr>
      <w:bookmarkStart w:id="55" w:name="_Toc401143934"/>
      <w:r w:rsidRPr="00A128B3">
        <w:lastRenderedPageBreak/>
        <w:t>Appendix 1</w:t>
      </w:r>
      <w:bookmarkEnd w:id="55"/>
    </w:p>
    <w:p w:rsidR="00A128B3" w:rsidRPr="00A128B3" w:rsidRDefault="00A128B3" w:rsidP="00BC4D1D">
      <w:pPr>
        <w:pStyle w:val="Heading3"/>
      </w:pPr>
      <w:bookmarkStart w:id="56" w:name="_Toc401143935"/>
      <w:r w:rsidRPr="00A128B3">
        <w:t>Structural formulae of tutin and related compounds</w:t>
      </w:r>
      <w:bookmarkEnd w:id="56"/>
    </w:p>
    <w:p w:rsidR="00A128B3" w:rsidRPr="00A128B3" w:rsidRDefault="00A128B3" w:rsidP="00A128B3">
      <w:r w:rsidRPr="00A128B3">
        <w:t>The structures of tutin, hyenanchin, picrotoxinin and picrotin are shown below. Tutin and hyenanchin differ only by the substitution of a hydrogen in tutin for a hydroxyl group (circled) in hyenanchin. Tutin and hyenanchin possess an additional epoxide group compared to picrotoxinin and picrotin.</w:t>
      </w:r>
      <w:r w:rsidRPr="00A128B3">
        <w:rPr>
          <w:bCs/>
        </w:rPr>
        <w:t xml:space="preserve"> ‘Picrotoxin’ is an equimolar mixture of picrotoxinin </w:t>
      </w:r>
      <w:r w:rsidR="006F0EFB">
        <w:rPr>
          <w:bCs/>
        </w:rPr>
        <w:t>(a GABA</w:t>
      </w:r>
      <w:r w:rsidR="006F0EFB" w:rsidRPr="00C46C9B">
        <w:rPr>
          <w:bCs/>
          <w:vertAlign w:val="subscript"/>
        </w:rPr>
        <w:t>A</w:t>
      </w:r>
      <w:r w:rsidR="006F0EFB">
        <w:rPr>
          <w:bCs/>
        </w:rPr>
        <w:t xml:space="preserve"> receptor antagonist) </w:t>
      </w:r>
      <w:r w:rsidRPr="00A128B3">
        <w:rPr>
          <w:bCs/>
        </w:rPr>
        <w:t>and picrotin</w:t>
      </w:r>
      <w:r w:rsidR="006F0EFB">
        <w:rPr>
          <w:bCs/>
        </w:rPr>
        <w:t xml:space="preserve"> (inactive at the GABA</w:t>
      </w:r>
      <w:r w:rsidR="006F0EFB" w:rsidRPr="00C46C9B">
        <w:rPr>
          <w:bCs/>
          <w:vertAlign w:val="subscript"/>
        </w:rPr>
        <w:t>A</w:t>
      </w:r>
      <w:r w:rsidR="006F0EFB">
        <w:rPr>
          <w:bCs/>
        </w:rPr>
        <w:t xml:space="preserve"> receptor)</w:t>
      </w:r>
      <w:r w:rsidRPr="00A128B3">
        <w:rPr>
          <w:bCs/>
        </w:rPr>
        <w:t>.</w:t>
      </w:r>
    </w:p>
    <w:p w:rsidR="00A128B3" w:rsidRPr="00A128B3" w:rsidRDefault="00A128B3" w:rsidP="00A128B3"/>
    <w:p w:rsidR="00A128B3" w:rsidRPr="00A128B3" w:rsidRDefault="00AF3A23" w:rsidP="00C46C9B">
      <w:pPr>
        <w:jc w:val="center"/>
      </w:pPr>
      <w:r>
        <w:rPr>
          <w:noProof/>
          <w:lang w:eastAsia="en-GB" w:bidi="ar-SA"/>
        </w:rPr>
        <mc:AlternateContent>
          <mc:Choice Requires="wps">
            <w:drawing>
              <wp:anchor distT="0" distB="0" distL="114300" distR="114300" simplePos="0" relativeHeight="251662336" behindDoc="0" locked="0" layoutInCell="1" allowOverlap="1">
                <wp:simplePos x="0" y="0"/>
                <wp:positionH relativeFrom="column">
                  <wp:posOffset>3573780</wp:posOffset>
                </wp:positionH>
                <wp:positionV relativeFrom="paragraph">
                  <wp:posOffset>1083310</wp:posOffset>
                </wp:positionV>
                <wp:extent cx="426720" cy="390525"/>
                <wp:effectExtent l="11430" t="6985" r="9525" b="12065"/>
                <wp:wrapNone/>
                <wp:docPr id="4"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 cy="390525"/>
                        </a:xfrm>
                        <a:prstGeom prst="ellipse">
                          <a:avLst/>
                        </a:prstGeom>
                        <a:solidFill>
                          <a:srgbClr val="FFFFFF">
                            <a:alpha val="0"/>
                          </a:srgbClr>
                        </a:solidFill>
                        <a:ln w="9525">
                          <a:solidFill>
                            <a:srgbClr val="000000"/>
                          </a:solidFill>
                          <a:prstDash val="dash"/>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281.4pt;margin-top:85.3pt;width:33.6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">
                <v:fill opacity="0"/>
                <v:stroke dashstyle="dash"/>
              </v:oval>
            </w:pict>
          </mc:Fallback>
        </mc:AlternateContent>
      </w:r>
      <w:r w:rsidR="002E5B88">
        <w:rPr>
          <w:noProof/>
          <w:lang w:eastAsia="en-GB" w:bidi="ar-SA"/>
        </w:rPr>
        <w:drawing>
          <wp:inline distT="0" distB="0" distL="0" distR="0" wp14:anchorId="0C4C2BBB" wp14:editId="613666B8">
            <wp:extent cx="1918800" cy="22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tin3_jp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r w:rsidR="002E5B88">
        <w:rPr>
          <w:noProof/>
          <w:lang w:eastAsia="en-GB" w:bidi="ar-SA"/>
        </w:rPr>
        <w:drawing>
          <wp:inline distT="0" distB="0" distL="0" distR="0" wp14:anchorId="7F0F8D1D" wp14:editId="12A57D6F">
            <wp:extent cx="1918800" cy="227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enanchin3_jpg.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p>
    <w:p w:rsidR="00A128B3" w:rsidRPr="00A128B3" w:rsidRDefault="00A128B3" w:rsidP="00A128B3">
      <w:r w:rsidRPr="00A128B3">
        <w:tab/>
      </w:r>
      <w:r w:rsidRPr="00A128B3">
        <w:tab/>
      </w:r>
    </w:p>
    <w:p w:rsidR="00A128B3" w:rsidRPr="00A128B3" w:rsidRDefault="00A128B3" w:rsidP="00A128B3"/>
    <w:p w:rsidR="00A128B3" w:rsidRPr="00A128B3" w:rsidRDefault="00A128B3" w:rsidP="00A128B3">
      <w:r w:rsidRPr="00A128B3">
        <w:t xml:space="preserve">                      </w:t>
      </w:r>
      <w:r w:rsidR="0027486B">
        <w:tab/>
      </w:r>
      <w:r w:rsidR="0027486B">
        <w:tab/>
      </w:r>
      <w:r w:rsidRPr="00A128B3">
        <w:t xml:space="preserve"> </w:t>
      </w:r>
      <w:r w:rsidR="002D3AC3">
        <w:t xml:space="preserve">  </w:t>
      </w:r>
      <w:r w:rsidR="00D77D49">
        <w:t xml:space="preserve">  </w:t>
      </w:r>
      <w:r w:rsidRPr="00C46C9B">
        <w:rPr>
          <w:b/>
        </w:rPr>
        <w:t>Tutin</w:t>
      </w:r>
      <w:r w:rsidRPr="00A128B3">
        <w:t xml:space="preserve">                                   </w:t>
      </w:r>
      <w:r w:rsidR="00D77D49">
        <w:t xml:space="preserve"> </w:t>
      </w:r>
      <w:r w:rsidRPr="00C46C9B">
        <w:rPr>
          <w:b/>
        </w:rPr>
        <w:t>Hyenanchin</w:t>
      </w:r>
    </w:p>
    <w:p w:rsidR="00A128B3" w:rsidRPr="00A128B3" w:rsidRDefault="00A128B3" w:rsidP="00A128B3"/>
    <w:p w:rsidR="00A128B3" w:rsidRPr="00A128B3" w:rsidRDefault="00A128B3" w:rsidP="00A128B3"/>
    <w:p w:rsidR="00A128B3" w:rsidRPr="00A128B3" w:rsidRDefault="002E5B88" w:rsidP="00C46C9B">
      <w:pPr>
        <w:jc w:val="center"/>
      </w:pPr>
      <w:r>
        <w:rPr>
          <w:noProof/>
          <w:lang w:eastAsia="en-GB" w:bidi="ar-SA"/>
        </w:rPr>
        <w:drawing>
          <wp:inline distT="0" distB="0" distL="0" distR="0" wp14:anchorId="71C9D460" wp14:editId="66E56AE6">
            <wp:extent cx="1918800" cy="2271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rotoxinin3_jpg.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r>
        <w:rPr>
          <w:noProof/>
          <w:lang w:eastAsia="en-GB" w:bidi="ar-SA"/>
        </w:rPr>
        <w:drawing>
          <wp:inline distT="0" distB="0" distL="0" distR="0" wp14:anchorId="0A42D558" wp14:editId="40FF5800">
            <wp:extent cx="1918800" cy="2271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rotin3_jp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8800" cy="2271600"/>
                    </a:xfrm>
                    <a:prstGeom prst="rect">
                      <a:avLst/>
                    </a:prstGeom>
                  </pic:spPr>
                </pic:pic>
              </a:graphicData>
            </a:graphic>
          </wp:inline>
        </w:drawing>
      </w:r>
    </w:p>
    <w:p w:rsidR="00A128B3" w:rsidRPr="00A128B3" w:rsidRDefault="00A128B3" w:rsidP="00A128B3">
      <w:r w:rsidRPr="00A128B3">
        <w:tab/>
      </w:r>
      <w:r w:rsidRPr="00A128B3">
        <w:tab/>
      </w:r>
    </w:p>
    <w:p w:rsidR="00A128B3" w:rsidRPr="00A128B3" w:rsidRDefault="00A128B3" w:rsidP="00A128B3"/>
    <w:p w:rsidR="00A128B3" w:rsidRPr="00A128B3" w:rsidRDefault="00A128B3" w:rsidP="00A128B3">
      <w:r w:rsidRPr="00A128B3">
        <w:tab/>
      </w:r>
      <w:r w:rsidR="0027486B" w:rsidRPr="00A128B3">
        <w:t xml:space="preserve">        </w:t>
      </w:r>
      <w:r w:rsidR="0027486B">
        <w:tab/>
      </w:r>
      <w:r w:rsidR="0027486B">
        <w:tab/>
      </w:r>
      <w:r w:rsidR="0027486B" w:rsidRPr="00A128B3">
        <w:t xml:space="preserve"> </w:t>
      </w:r>
      <w:r w:rsidR="002D3AC3">
        <w:t xml:space="preserve">    </w:t>
      </w:r>
      <w:r w:rsidR="00D77D49">
        <w:t xml:space="preserve">  </w:t>
      </w:r>
      <w:r w:rsidRPr="00C46C9B">
        <w:rPr>
          <w:b/>
        </w:rPr>
        <w:t>Picrotoxinin</w:t>
      </w:r>
      <w:r w:rsidRPr="00A128B3">
        <w:t xml:space="preserve"> </w:t>
      </w:r>
      <w:r w:rsidRPr="00A128B3">
        <w:tab/>
      </w:r>
      <w:r w:rsidRPr="00A128B3">
        <w:tab/>
      </w:r>
      <w:r w:rsidRPr="00A128B3">
        <w:tab/>
      </w:r>
      <w:r w:rsidR="00D77D49">
        <w:t xml:space="preserve">     </w:t>
      </w:r>
      <w:r w:rsidRPr="00C46C9B">
        <w:rPr>
          <w:b/>
        </w:rPr>
        <w:t>Picrotin</w:t>
      </w:r>
    </w:p>
    <w:p w:rsidR="00A128B3" w:rsidRPr="00A128B3" w:rsidRDefault="00A128B3" w:rsidP="00A128B3"/>
    <w:p w:rsidR="00511466" w:rsidRDefault="00620C5F" w:rsidP="00511466">
      <w:pPr>
        <w:pStyle w:val="Heading1"/>
      </w:pPr>
      <w:r>
        <w:br w:type="page"/>
      </w:r>
      <w:bookmarkStart w:id="57" w:name="_Toc401143936"/>
      <w:r w:rsidR="00511466">
        <w:lastRenderedPageBreak/>
        <w:t>Appendix 2</w:t>
      </w:r>
      <w:bookmarkEnd w:id="57"/>
    </w:p>
    <w:p w:rsidR="00511466" w:rsidRDefault="00DC2C3C" w:rsidP="00BC4D1D">
      <w:pPr>
        <w:pStyle w:val="Heading3"/>
      </w:pPr>
      <w:bookmarkStart w:id="58" w:name="_Toc401143937"/>
      <w:r>
        <w:t xml:space="preserve">Discovery of </w:t>
      </w:r>
      <w:r w:rsidR="000F12CD">
        <w:t>tutin gly</w:t>
      </w:r>
      <w:r w:rsidR="009F6640">
        <w:t xml:space="preserve">cosides in </w:t>
      </w:r>
      <w:r w:rsidR="00117B0F">
        <w:t>h</w:t>
      </w:r>
      <w:r w:rsidR="00511466">
        <w:t>o</w:t>
      </w:r>
      <w:r w:rsidR="009F6640">
        <w:t>ney</w:t>
      </w:r>
      <w:r w:rsidR="00117B0F">
        <w:t xml:space="preserve"> samples</w:t>
      </w:r>
      <w:r w:rsidR="006E7318">
        <w:t xml:space="preserve"> and attempts to release tutin from glycosides by incubation with human colonic microflora</w:t>
      </w:r>
      <w:bookmarkEnd w:id="58"/>
    </w:p>
    <w:p w:rsidR="00511466" w:rsidRDefault="00136461" w:rsidP="00C46C9B">
      <w:pPr>
        <w:pBdr>
          <w:top w:val="single" w:sz="4" w:space="1" w:color="auto"/>
          <w:left w:val="single" w:sz="4" w:space="4" w:color="auto"/>
          <w:bottom w:val="single" w:sz="4" w:space="1" w:color="auto"/>
          <w:right w:val="single" w:sz="4" w:space="4" w:color="auto"/>
        </w:pBdr>
      </w:pPr>
      <w:r>
        <w:t xml:space="preserve">Larsen, </w:t>
      </w:r>
      <w:r w:rsidR="007B49E4">
        <w:t xml:space="preserve">L, </w:t>
      </w:r>
      <w:r>
        <w:t>Joyce</w:t>
      </w:r>
      <w:r w:rsidR="007B49E4">
        <w:t xml:space="preserve"> NI, </w:t>
      </w:r>
      <w:r>
        <w:t>Cooney</w:t>
      </w:r>
      <w:r w:rsidR="007B49E4">
        <w:t xml:space="preserve"> JM, </w:t>
      </w:r>
      <w:r>
        <w:t>Jensen</w:t>
      </w:r>
      <w:r w:rsidR="007B49E4">
        <w:t xml:space="preserve"> DJ, </w:t>
      </w:r>
      <w:r>
        <w:t>Tannock</w:t>
      </w:r>
      <w:r w:rsidR="007B49E4">
        <w:t xml:space="preserve"> GW, </w:t>
      </w:r>
      <w:r>
        <w:t xml:space="preserve">Sansom </w:t>
      </w:r>
      <w:r w:rsidR="007B49E4">
        <w:t xml:space="preserve">CE and </w:t>
      </w:r>
      <w:r>
        <w:t xml:space="preserve">Perry </w:t>
      </w:r>
      <w:r w:rsidR="007B49E4">
        <w:t xml:space="preserve">NB </w:t>
      </w:r>
      <w:r>
        <w:t>(2014) Discovery of tutin metabolites in New Zealand toxic honey.</w:t>
      </w:r>
      <w:r w:rsidRPr="00136461">
        <w:t xml:space="preserve"> The New Zealand Institute f</w:t>
      </w:r>
      <w:r>
        <w:t xml:space="preserve">or Plant &amp; Food Research Ltd. </w:t>
      </w:r>
      <w:r w:rsidR="00937E1C" w:rsidRPr="007B49E4">
        <w:t>Report no.</w:t>
      </w:r>
      <w:r w:rsidR="00937E1C">
        <w:t xml:space="preserve"> </w:t>
      </w:r>
      <w:r w:rsidR="007B49E4" w:rsidRPr="007B49E4">
        <w:t>PFR SPTS No 9504</w:t>
      </w:r>
      <w:r w:rsidR="007B49E4">
        <w:t xml:space="preserve">. </w:t>
      </w:r>
      <w:r>
        <w:t>February 2014</w:t>
      </w:r>
      <w:r w:rsidR="00777C31">
        <w:t>.</w:t>
      </w:r>
      <w:r w:rsidR="00A227ED">
        <w:t xml:space="preserve"> Unpublished report.</w:t>
      </w:r>
    </w:p>
    <w:p w:rsidR="00620C5F" w:rsidRDefault="00620C5F">
      <w:pPr>
        <w:widowControl/>
      </w:pPr>
    </w:p>
    <w:p w:rsidR="002A6193" w:rsidRDefault="007B49E4" w:rsidP="007B49E4">
      <w:pPr>
        <w:widowControl/>
      </w:pPr>
      <w:r>
        <w:t xml:space="preserve">Samples of </w:t>
      </w:r>
      <w:r w:rsidRPr="00C46C9B">
        <w:rPr>
          <w:i/>
        </w:rPr>
        <w:t>Coriaria arborea</w:t>
      </w:r>
      <w:r>
        <w:t xml:space="preserve"> leaf and </w:t>
      </w:r>
      <w:r w:rsidR="00BF30B4">
        <w:t xml:space="preserve">three </w:t>
      </w:r>
      <w:r>
        <w:t xml:space="preserve">honeys </w:t>
      </w:r>
      <w:r w:rsidR="00BF30B4">
        <w:t xml:space="preserve">known to contain tutin </w:t>
      </w:r>
      <w:r>
        <w:t xml:space="preserve">were extracted, fractionated and analysed using </w:t>
      </w:r>
      <w:r w:rsidR="008540EE">
        <w:t>liquid chromatography</w:t>
      </w:r>
      <w:r w:rsidR="006F11A5">
        <w:t>-</w:t>
      </w:r>
      <w:r>
        <w:t xml:space="preserve">mass spectrometry (LC-MS). </w:t>
      </w:r>
      <w:r w:rsidR="002A6193">
        <w:t>Use of an ion-trap LC-MS methodology resulted in the identification</w:t>
      </w:r>
      <w:r>
        <w:t xml:space="preserve"> of two tutin monoglycosides, two tutin diglycosides and two tutin triglycosides in </w:t>
      </w:r>
      <w:r w:rsidR="00BC2E1D">
        <w:t>all three</w:t>
      </w:r>
      <w:r w:rsidR="002A6193">
        <w:t xml:space="preserve"> </w:t>
      </w:r>
      <w:r>
        <w:t xml:space="preserve">honey samples. </w:t>
      </w:r>
      <w:r w:rsidR="006F11A5">
        <w:t>A trace amount of a possible hyenanchin monoglycoside was found</w:t>
      </w:r>
      <w:r w:rsidR="00BC2E1D">
        <w:t xml:space="preserve"> in two of the honey samples</w:t>
      </w:r>
      <w:r w:rsidR="006F11A5">
        <w:t xml:space="preserve">. One of the tutin monoglycosides was also detected in a </w:t>
      </w:r>
      <w:r w:rsidR="006F11A5" w:rsidRPr="00617381">
        <w:rPr>
          <w:i/>
        </w:rPr>
        <w:t>Coriaria arborea</w:t>
      </w:r>
      <w:r w:rsidR="00EE7B5A">
        <w:t xml:space="preserve"> leaf extract along with low levels (relative to tutin) of </w:t>
      </w:r>
      <w:r w:rsidR="00EE7B5A" w:rsidRPr="00EE7B5A">
        <w:t>hyenanchin, dih</w:t>
      </w:r>
      <w:r w:rsidR="00EE7B5A">
        <w:t>ydrohyenanchin and dihydrotutin.</w:t>
      </w:r>
    </w:p>
    <w:p w:rsidR="002A6193" w:rsidRDefault="002A6193" w:rsidP="002A6193">
      <w:pPr>
        <w:widowControl/>
      </w:pPr>
    </w:p>
    <w:p w:rsidR="002A6193" w:rsidRDefault="00DE5878" w:rsidP="002A6193">
      <w:pPr>
        <w:widowControl/>
      </w:pPr>
      <w:r w:rsidRPr="00DE5878">
        <w:t xml:space="preserve">The molecular weight </w:t>
      </w:r>
      <w:r w:rsidR="007A44AA">
        <w:t xml:space="preserve">of the tutin monoglycosides is consistent with </w:t>
      </w:r>
      <w:r w:rsidRPr="00DE5878">
        <w:t>glycosidation at one of the two hydroxyl gro</w:t>
      </w:r>
      <w:r w:rsidR="007A44AA">
        <w:t>ups of tutin, to give a structure</w:t>
      </w:r>
      <w:r w:rsidRPr="00DE5878">
        <w:t xml:space="preserve"> such as </w:t>
      </w:r>
      <w:r w:rsidR="006F11A5">
        <w:t xml:space="preserve">that shown below (drawn as </w:t>
      </w:r>
      <w:r w:rsidRPr="00DE5878">
        <w:t xml:space="preserve">a glucoside at C2, </w:t>
      </w:r>
      <w:r w:rsidR="006F11A5">
        <w:t xml:space="preserve">however a </w:t>
      </w:r>
      <w:r w:rsidR="00EE7B5A">
        <w:t>tutin mono</w:t>
      </w:r>
      <w:r w:rsidR="006F11A5">
        <w:t xml:space="preserve">fructoside is of equivalent mass). </w:t>
      </w:r>
    </w:p>
    <w:p w:rsidR="00117B0F" w:rsidRDefault="00117B0F" w:rsidP="00C46C9B">
      <w:pPr>
        <w:widowControl/>
        <w:jc w:val="center"/>
      </w:pPr>
      <w:r>
        <w:rPr>
          <w:noProof/>
          <w:lang w:eastAsia="en-GB" w:bidi="ar-SA"/>
        </w:rPr>
        <w:drawing>
          <wp:inline distT="0" distB="0" distL="0" distR="0" wp14:anchorId="1EDFD956" wp14:editId="0CA169D9">
            <wp:extent cx="2952750" cy="17335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931" t="25797" r="22540" b="25798"/>
                    <a:stretch/>
                  </pic:blipFill>
                  <pic:spPr bwMode="auto">
                    <a:xfrm>
                      <a:off x="0" y="0"/>
                      <a:ext cx="2953405" cy="1733934"/>
                    </a:xfrm>
                    <a:prstGeom prst="rect">
                      <a:avLst/>
                    </a:prstGeom>
                    <a:ln>
                      <a:noFill/>
                    </a:ln>
                    <a:extLst>
                      <a:ext uri="{53640926-AAD7-44D8-BBD7-CCE9431645EC}">
                        <a14:shadowObscured xmlns:a14="http://schemas.microsoft.com/office/drawing/2010/main"/>
                      </a:ext>
                    </a:extLst>
                  </pic:spPr>
                </pic:pic>
              </a:graphicData>
            </a:graphic>
          </wp:inline>
        </w:drawing>
      </w:r>
    </w:p>
    <w:p w:rsidR="00E64FE2" w:rsidRDefault="005B039C">
      <w:pPr>
        <w:widowControl/>
      </w:pPr>
      <w:r>
        <w:t xml:space="preserve">This study also investigated whether incubation of the honey samples with human faecal material could result in the release of tutin from </w:t>
      </w:r>
      <w:r w:rsidR="000F12CD">
        <w:t>tutin gly</w:t>
      </w:r>
      <w:r>
        <w:t xml:space="preserve">cosides. A positive result would support the hypothesis that tutin glycosides are metabolised </w:t>
      </w:r>
      <w:r w:rsidR="00EF472B">
        <w:t xml:space="preserve">to tutin </w:t>
      </w:r>
      <w:r w:rsidR="002E1FF5">
        <w:t>by microflora</w:t>
      </w:r>
      <w:r>
        <w:t xml:space="preserve"> in the human colon resulting in the delayed systemic absorption of additional tutin as observed in the human pharmacokinetic study.</w:t>
      </w:r>
      <w:r w:rsidR="002E1FF5">
        <w:t xml:space="preserve"> </w:t>
      </w:r>
      <w:r w:rsidR="00E64FE2" w:rsidRPr="00E64FE2">
        <w:t xml:space="preserve">Honey samples were incubated with human faecal preparations </w:t>
      </w:r>
      <w:r w:rsidR="000955EF" w:rsidRPr="000955EF">
        <w:t xml:space="preserve">under anaerobic conditions </w:t>
      </w:r>
      <w:r w:rsidR="00E64FE2" w:rsidRPr="00E64FE2">
        <w:t>using a published protocol wi</w:t>
      </w:r>
      <w:r w:rsidR="00E64FE2">
        <w:t>th modifications (Gardana et al</w:t>
      </w:r>
      <w:r w:rsidR="00E64FE2" w:rsidRPr="00E64FE2">
        <w:t xml:space="preserve"> 2003). Incubation experiments were conducted with the honey sample administered in the </w:t>
      </w:r>
      <w:r w:rsidR="00EA46D1">
        <w:t>human pharmacokinetic</w:t>
      </w:r>
      <w:r w:rsidR="00E64FE2" w:rsidRPr="00E64FE2">
        <w:t xml:space="preserve"> study and with two honey samples associated with poisoning incidents (tutin concentrations 18 mg/kg and 50 mg/kg respectively).</w:t>
      </w:r>
    </w:p>
    <w:p w:rsidR="00E64FE2" w:rsidRDefault="00E64FE2">
      <w:pPr>
        <w:widowControl/>
      </w:pPr>
    </w:p>
    <w:p w:rsidR="00680F3A" w:rsidRDefault="00FA3F1C">
      <w:pPr>
        <w:widowControl/>
      </w:pPr>
      <w:r>
        <w:t>T</w:t>
      </w:r>
      <w:r w:rsidR="000955EF" w:rsidRPr="000955EF">
        <w:t xml:space="preserve">utin and hyenanchin concentrations in the </w:t>
      </w:r>
      <w:r w:rsidR="000955EF">
        <w:t xml:space="preserve">incubation </w:t>
      </w:r>
      <w:r w:rsidR="000955EF" w:rsidRPr="000955EF">
        <w:t xml:space="preserve">culture </w:t>
      </w:r>
      <w:r w:rsidR="000955EF">
        <w:t xml:space="preserve">were </w:t>
      </w:r>
      <w:r w:rsidR="000955EF" w:rsidRPr="000955EF">
        <w:t xml:space="preserve">measured </w:t>
      </w:r>
      <w:r>
        <w:t>at the beginning of the incubation and after 24 h</w:t>
      </w:r>
      <w:r w:rsidR="000955EF" w:rsidRPr="000955EF">
        <w:t xml:space="preserve">. </w:t>
      </w:r>
      <w:r w:rsidR="000955EF">
        <w:t>M</w:t>
      </w:r>
      <w:r w:rsidR="000955EF" w:rsidRPr="000955EF">
        <w:t xml:space="preserve">onitoring of </w:t>
      </w:r>
      <w:r w:rsidR="000F12CD">
        <w:t>tutin gly</w:t>
      </w:r>
      <w:r w:rsidR="000955EF">
        <w:t xml:space="preserve">coside levels </w:t>
      </w:r>
      <w:r w:rsidR="000955EF" w:rsidRPr="000955EF">
        <w:t>was by comparison of</w:t>
      </w:r>
      <w:r w:rsidR="000955EF">
        <w:t xml:space="preserve"> peak areas.</w:t>
      </w:r>
      <w:r w:rsidR="00CD416F">
        <w:t xml:space="preserve"> </w:t>
      </w:r>
      <w:r w:rsidR="000955EF" w:rsidRPr="000955EF">
        <w:t>Tutin concentrations in the incubation mixture were sl</w:t>
      </w:r>
      <w:r w:rsidR="000955EF">
        <w:t>ightly lower or unchanged at 24 </w:t>
      </w:r>
      <w:r w:rsidR="000955EF" w:rsidRPr="000955EF">
        <w:t>h compared to init</w:t>
      </w:r>
      <w:r w:rsidR="000955EF">
        <w:t>ial concentrations</w:t>
      </w:r>
      <w:r w:rsidR="000955EF" w:rsidRPr="000955EF">
        <w:t>. In contrast, large changes were observed in the levels of some tutin conj</w:t>
      </w:r>
      <w:r w:rsidR="00CD416F">
        <w:t>ugates. For example</w:t>
      </w:r>
      <w:r w:rsidR="000955EF" w:rsidRPr="000955EF">
        <w:t>, peak areas at 24 h for three di-glycoside conjugates were only 1 to 4% of the areas at time zero, while peak areas for two mono-glycosides increas</w:t>
      </w:r>
      <w:r w:rsidR="003527C3">
        <w:t>ed by 2.8- to 3.7-fold</w:t>
      </w:r>
      <w:r w:rsidR="000955EF" w:rsidRPr="000955EF">
        <w:t xml:space="preserve">. Levels of two tri-glycosides were also observed to decrease, but to a lesser degree than that observed for the di-glycosides. </w:t>
      </w:r>
      <w:r w:rsidR="000955EF">
        <w:t>A negative control incubation (no faecal microflora</w:t>
      </w:r>
      <w:r w:rsidR="00CD416F">
        <w:t>) result</w:t>
      </w:r>
      <w:r w:rsidR="003527C3">
        <w:t>ed</w:t>
      </w:r>
      <w:r w:rsidR="00CD416F">
        <w:t xml:space="preserve"> in </w:t>
      </w:r>
      <w:r w:rsidR="003527C3">
        <w:t xml:space="preserve">no </w:t>
      </w:r>
      <w:r w:rsidR="00CD416F">
        <w:t>substantial</w:t>
      </w:r>
      <w:r w:rsidR="000955EF">
        <w:t xml:space="preserve"> changes in the levels of </w:t>
      </w:r>
      <w:r w:rsidR="000F12CD">
        <w:t>tutin gly</w:t>
      </w:r>
      <w:r w:rsidR="000955EF">
        <w:t xml:space="preserve">cosides. </w:t>
      </w:r>
      <w:r w:rsidR="00680F3A">
        <w:br w:type="page"/>
      </w:r>
    </w:p>
    <w:p w:rsidR="000955EF" w:rsidRDefault="00CD416F">
      <w:pPr>
        <w:widowControl/>
      </w:pPr>
      <w:r>
        <w:lastRenderedPageBreak/>
        <w:t>In conclusion</w:t>
      </w:r>
      <w:r w:rsidR="000955EF" w:rsidRPr="000955EF">
        <w:t xml:space="preserve">, under the conditions of these experiments, tutin does not appear to be released from conjugates indicating that the microbial enzymes present in these incubations do not efficiently cleave </w:t>
      </w:r>
      <w:r w:rsidR="000F12CD">
        <w:t>tutin gly</w:t>
      </w:r>
      <w:r w:rsidR="000955EF" w:rsidRPr="000955EF">
        <w:t>coside bonds, whereas di- and tri-glycosides appear to undergo cleavage resulting in increased le</w:t>
      </w:r>
      <w:r w:rsidR="000955EF">
        <w:t>vels of tutin mono-glycosides.</w:t>
      </w:r>
    </w:p>
    <w:p w:rsidR="00EF472B" w:rsidRDefault="00EF472B" w:rsidP="007B49E4">
      <w:pPr>
        <w:widowControl/>
      </w:pPr>
    </w:p>
    <w:p w:rsidR="00DC5A32" w:rsidRPr="00C46C9B" w:rsidRDefault="00DC5A32" w:rsidP="00EF472B">
      <w:pPr>
        <w:rPr>
          <w:b/>
          <w:bCs/>
          <w:iCs/>
        </w:rPr>
      </w:pPr>
      <w:r w:rsidRPr="00C46C9B">
        <w:rPr>
          <w:b/>
          <w:bCs/>
          <w:iCs/>
        </w:rPr>
        <w:t>Reference</w:t>
      </w:r>
    </w:p>
    <w:p w:rsidR="00DC5A32" w:rsidRDefault="00DC5A32" w:rsidP="00EF472B">
      <w:pPr>
        <w:rPr>
          <w:bCs/>
          <w:iCs/>
        </w:rPr>
      </w:pPr>
    </w:p>
    <w:p w:rsidR="00EF472B" w:rsidRPr="00BD21BD" w:rsidRDefault="00EF472B" w:rsidP="00EF472B">
      <w:pPr>
        <w:rPr>
          <w:bCs/>
          <w:iCs/>
          <w:sz w:val="20"/>
        </w:rPr>
      </w:pPr>
      <w:r w:rsidRPr="00BD21BD">
        <w:rPr>
          <w:bCs/>
          <w:iCs/>
          <w:sz w:val="20"/>
        </w:rPr>
        <w:t xml:space="preserve">Gardana C, Simonetti P, Canzi E, Zanchi R, Pietta P (2003) Metabolism of stevioside and rebaudioside A from </w:t>
      </w:r>
      <w:r w:rsidRPr="00BD21BD">
        <w:rPr>
          <w:bCs/>
          <w:i/>
          <w:iCs/>
          <w:sz w:val="20"/>
        </w:rPr>
        <w:t>Stevia rebaudiana</w:t>
      </w:r>
      <w:r w:rsidRPr="00BD21BD">
        <w:rPr>
          <w:bCs/>
          <w:iCs/>
          <w:sz w:val="20"/>
        </w:rPr>
        <w:t xml:space="preserve"> extracts by human microflora. </w:t>
      </w:r>
      <w:r w:rsidRPr="00BD21BD">
        <w:rPr>
          <w:bCs/>
          <w:i/>
          <w:iCs/>
          <w:sz w:val="20"/>
        </w:rPr>
        <w:t>J Agric Food Chem</w:t>
      </w:r>
      <w:r w:rsidRPr="00BD21BD">
        <w:rPr>
          <w:bCs/>
          <w:iCs/>
          <w:sz w:val="20"/>
        </w:rPr>
        <w:t xml:space="preserve">, </w:t>
      </w:r>
      <w:r w:rsidRPr="00BD21BD">
        <w:rPr>
          <w:b/>
          <w:bCs/>
          <w:iCs/>
          <w:sz w:val="20"/>
        </w:rPr>
        <w:t>51</w:t>
      </w:r>
      <w:r w:rsidRPr="00BD21BD">
        <w:rPr>
          <w:bCs/>
          <w:iCs/>
          <w:sz w:val="20"/>
        </w:rPr>
        <w:t>:6618-6622.</w:t>
      </w:r>
    </w:p>
    <w:p w:rsidR="00511466" w:rsidRDefault="00511466" w:rsidP="007B49E4">
      <w:pPr>
        <w:widowControl/>
        <w:rPr>
          <w:b/>
          <w:bCs/>
          <w:sz w:val="36"/>
          <w:szCs w:val="28"/>
          <w:lang w:bidi="ar-SA"/>
        </w:rPr>
      </w:pPr>
      <w:r>
        <w:br w:type="page"/>
      </w:r>
    </w:p>
    <w:p w:rsidR="00786BEC" w:rsidRDefault="00786BEC" w:rsidP="00786BEC">
      <w:pPr>
        <w:pStyle w:val="Heading1"/>
      </w:pPr>
      <w:bookmarkStart w:id="59" w:name="_Toc401143938"/>
      <w:r>
        <w:lastRenderedPageBreak/>
        <w:t>Appendix 3</w:t>
      </w:r>
      <w:bookmarkEnd w:id="59"/>
    </w:p>
    <w:p w:rsidR="00786BEC" w:rsidRDefault="00AB5D90" w:rsidP="00BC4D1D">
      <w:pPr>
        <w:pStyle w:val="Heading3"/>
      </w:pPr>
      <w:bookmarkStart w:id="60" w:name="_Toc401143939"/>
      <w:r>
        <w:t>Attempts to hydrolyse</w:t>
      </w:r>
      <w:r w:rsidR="00786BEC" w:rsidRPr="001E7DF3">
        <w:t xml:space="preserve"> </w:t>
      </w:r>
      <w:r w:rsidR="000F12CD">
        <w:t>tutin gly</w:t>
      </w:r>
      <w:r w:rsidR="00786BEC" w:rsidRPr="001E7DF3">
        <w:t xml:space="preserve">cosides in honey </w:t>
      </w:r>
      <w:r>
        <w:t>using enzymatic and acid incubations</w:t>
      </w:r>
      <w:bookmarkEnd w:id="60"/>
    </w:p>
    <w:p w:rsidR="00AB5D90" w:rsidRDefault="00AB5D90" w:rsidP="00AB5D90">
      <w:pPr>
        <w:pBdr>
          <w:top w:val="single" w:sz="4" w:space="1" w:color="auto"/>
          <w:left w:val="single" w:sz="4" w:space="4" w:color="auto"/>
          <w:bottom w:val="single" w:sz="4" w:space="1" w:color="auto"/>
          <w:right w:val="single" w:sz="4" w:space="4" w:color="auto"/>
        </w:pBdr>
        <w:spacing w:before="40" w:after="40"/>
        <w:rPr>
          <w:bCs/>
          <w:lang w:eastAsia="en-AU" w:bidi="ar-SA"/>
        </w:rPr>
      </w:pPr>
      <w:r w:rsidRPr="00AB5D90">
        <w:rPr>
          <w:bCs/>
          <w:lang w:eastAsia="en-AU" w:bidi="ar-SA"/>
        </w:rPr>
        <w:t>Sansom CE, Cooney JM, Perry NB, Jensen DJ</w:t>
      </w:r>
      <w:r>
        <w:rPr>
          <w:bCs/>
          <w:lang w:eastAsia="en-AU" w:bidi="ar-SA"/>
        </w:rPr>
        <w:t xml:space="preserve"> (2013) </w:t>
      </w:r>
      <w:r w:rsidRPr="00AB5D90">
        <w:rPr>
          <w:bCs/>
          <w:lang w:eastAsia="en-AU" w:bidi="ar-SA"/>
        </w:rPr>
        <w:t>Hydrolysis of tutin glycosides in toxic honey using enzymes and acid</w:t>
      </w:r>
      <w:r>
        <w:rPr>
          <w:bCs/>
          <w:lang w:eastAsia="en-AU" w:bidi="ar-SA"/>
        </w:rPr>
        <w:t xml:space="preserve">. </w:t>
      </w:r>
      <w:r w:rsidRPr="00AB5D90">
        <w:rPr>
          <w:bCs/>
          <w:lang w:eastAsia="en-AU" w:bidi="ar-SA"/>
        </w:rPr>
        <w:t>The New Zealand Institute for Plant &amp; Food Research L</w:t>
      </w:r>
      <w:r>
        <w:rPr>
          <w:bCs/>
          <w:lang w:eastAsia="en-AU" w:bidi="ar-SA"/>
        </w:rPr>
        <w:t>td. Report No. PFR SPTS No. 9137. October</w:t>
      </w:r>
      <w:r w:rsidRPr="00AB5D90">
        <w:rPr>
          <w:bCs/>
          <w:lang w:eastAsia="en-AU" w:bidi="ar-SA"/>
        </w:rPr>
        <w:t xml:space="preserve"> 2013. Unpublished report.</w:t>
      </w:r>
    </w:p>
    <w:p w:rsidR="00786BEC" w:rsidRDefault="00786BEC" w:rsidP="00786BEC">
      <w:pPr>
        <w:rPr>
          <w:bCs/>
          <w:lang w:eastAsia="en-AU" w:bidi="ar-SA"/>
        </w:rPr>
      </w:pPr>
    </w:p>
    <w:p w:rsidR="00EF472B" w:rsidRPr="00C46C9B" w:rsidRDefault="00AB5D90" w:rsidP="00C46C9B">
      <w:r>
        <w:t>T</w:t>
      </w:r>
      <w:r w:rsidR="001863C9">
        <w:t>he</w:t>
      </w:r>
      <w:r>
        <w:t xml:space="preserve"> experiments </w:t>
      </w:r>
      <w:r w:rsidR="001863C9">
        <w:t xml:space="preserve">in this study </w:t>
      </w:r>
      <w:r>
        <w:t xml:space="preserve">were conducted </w:t>
      </w:r>
      <w:r w:rsidR="001863C9">
        <w:t>to</w:t>
      </w:r>
      <w:r>
        <w:t xml:space="preserve"> attempt to release tutin from conjugates using enzymatic methods and </w:t>
      </w:r>
      <w:r w:rsidR="003527C3">
        <w:t>also</w:t>
      </w:r>
      <w:r>
        <w:t xml:space="preserve"> </w:t>
      </w:r>
      <w:r w:rsidR="003527C3">
        <w:t>using</w:t>
      </w:r>
      <w:r>
        <w:t xml:space="preserve"> acidic conditions.</w:t>
      </w:r>
      <w:r w:rsidR="001863C9">
        <w:t xml:space="preserve"> </w:t>
      </w:r>
      <w:r w:rsidR="003F4149">
        <w:t xml:space="preserve">In published studies, </w:t>
      </w:r>
      <w:r w:rsidR="003F4149">
        <w:rPr>
          <w:rFonts w:eastAsia="Calibri"/>
          <w:szCs w:val="22"/>
          <w:lang w:bidi="ar-SA"/>
        </w:rPr>
        <w:t>a</w:t>
      </w:r>
      <w:r w:rsidR="00EF472B" w:rsidRPr="00EF472B">
        <w:rPr>
          <w:rFonts w:eastAsia="Calibri"/>
          <w:szCs w:val="22"/>
          <w:lang w:bidi="ar-SA"/>
        </w:rPr>
        <w:t xml:space="preserve"> range of glycosidases have been used for the</w:t>
      </w:r>
      <w:r w:rsidR="003F4149">
        <w:rPr>
          <w:rFonts w:eastAsia="Calibri"/>
          <w:szCs w:val="22"/>
          <w:lang w:bidi="ar-SA"/>
        </w:rPr>
        <w:t xml:space="preserve"> release of aglycones from</w:t>
      </w:r>
      <w:r w:rsidR="00EF472B" w:rsidRPr="00EF472B">
        <w:rPr>
          <w:rFonts w:eastAsia="Calibri"/>
          <w:szCs w:val="22"/>
          <w:lang w:bidi="ar-SA"/>
        </w:rPr>
        <w:t xml:space="preserve"> glycoconjugates including mycotoxins, flavonoids, steviol glycosides and glycosides of sesquiterpene lactones (see for example Kotsos </w:t>
      </w:r>
      <w:r w:rsidR="00EF472B" w:rsidRPr="00C46C9B">
        <w:rPr>
          <w:rFonts w:eastAsia="Calibri"/>
          <w:szCs w:val="22"/>
          <w:lang w:bidi="ar-SA"/>
        </w:rPr>
        <w:t>et al</w:t>
      </w:r>
      <w:r w:rsidR="00EF472B" w:rsidRPr="00EF472B">
        <w:rPr>
          <w:rFonts w:eastAsia="Calibri"/>
          <w:szCs w:val="22"/>
          <w:lang w:bidi="ar-SA"/>
        </w:rPr>
        <w:t xml:space="preserve"> 2008; Pricelius </w:t>
      </w:r>
      <w:r w:rsidR="00EF472B" w:rsidRPr="00C46C9B">
        <w:rPr>
          <w:rFonts w:eastAsia="Calibri"/>
          <w:szCs w:val="22"/>
          <w:lang w:bidi="ar-SA"/>
        </w:rPr>
        <w:t>et al</w:t>
      </w:r>
      <w:r w:rsidR="00EF472B" w:rsidRPr="00EF472B">
        <w:rPr>
          <w:rFonts w:eastAsia="Calibri"/>
          <w:szCs w:val="22"/>
          <w:lang w:bidi="ar-SA"/>
        </w:rPr>
        <w:t xml:space="preserve"> 2009; Beloglazova </w:t>
      </w:r>
      <w:r w:rsidR="00EF472B" w:rsidRPr="00C46C9B">
        <w:rPr>
          <w:rFonts w:eastAsia="Calibri"/>
          <w:szCs w:val="22"/>
          <w:lang w:bidi="ar-SA"/>
        </w:rPr>
        <w:t>et al</w:t>
      </w:r>
      <w:r w:rsidR="00EF472B" w:rsidRPr="00EF472B">
        <w:rPr>
          <w:rFonts w:eastAsia="Calibri"/>
          <w:szCs w:val="22"/>
          <w:lang w:bidi="ar-SA"/>
        </w:rPr>
        <w:t xml:space="preserve"> 2013). Typically, several glycosidases of varying specificity are evaluated in order to achieve maximal release of aglycones. For example, the extent of glucose release from a mono-glucoside of zearalenone differed markedly for glucosidases purified from </w:t>
      </w:r>
      <w:r w:rsidR="00EF472B" w:rsidRPr="00EF472B">
        <w:rPr>
          <w:rFonts w:eastAsia="Calibri"/>
          <w:i/>
          <w:szCs w:val="22"/>
          <w:lang w:bidi="ar-SA"/>
        </w:rPr>
        <w:t xml:space="preserve">Aspergillus niger </w:t>
      </w:r>
      <w:r w:rsidR="00EF472B" w:rsidRPr="00EF472B">
        <w:rPr>
          <w:rFonts w:eastAsia="Calibri"/>
          <w:szCs w:val="22"/>
          <w:lang w:bidi="ar-SA"/>
        </w:rPr>
        <w:t xml:space="preserve">(100% cleavage) and almonds (6% cleavage). A cellulase preparation from the fungus </w:t>
      </w:r>
      <w:r w:rsidR="00EF472B" w:rsidRPr="00EF472B">
        <w:rPr>
          <w:rFonts w:eastAsia="Calibri"/>
          <w:i/>
          <w:szCs w:val="22"/>
          <w:lang w:bidi="ar-SA"/>
        </w:rPr>
        <w:t>Trichoderma viride</w:t>
      </w:r>
      <w:r w:rsidR="00EF472B" w:rsidRPr="00EF472B">
        <w:rPr>
          <w:rFonts w:eastAsia="Calibri"/>
          <w:szCs w:val="22"/>
          <w:lang w:bidi="ar-SA"/>
        </w:rPr>
        <w:t xml:space="preserve"> also completely released zearalenone from the conjugate; however cellulase from </w:t>
      </w:r>
      <w:r w:rsidR="00EF472B" w:rsidRPr="00EF472B">
        <w:rPr>
          <w:rFonts w:eastAsia="Calibri"/>
          <w:i/>
          <w:szCs w:val="22"/>
          <w:lang w:bidi="ar-SA"/>
        </w:rPr>
        <w:t>A. niger</w:t>
      </w:r>
      <w:r w:rsidR="00EF472B" w:rsidRPr="00EF472B">
        <w:rPr>
          <w:rFonts w:eastAsia="Calibri"/>
          <w:szCs w:val="22"/>
          <w:lang w:bidi="ar-SA"/>
        </w:rPr>
        <w:t xml:space="preserve"> gave only 20% release (Beloglazova </w:t>
      </w:r>
      <w:r w:rsidR="00EF472B" w:rsidRPr="00C46C9B">
        <w:rPr>
          <w:rFonts w:eastAsia="Calibri"/>
          <w:szCs w:val="22"/>
          <w:lang w:bidi="ar-SA"/>
        </w:rPr>
        <w:t>et al</w:t>
      </w:r>
      <w:r w:rsidR="00EF472B" w:rsidRPr="00EF472B">
        <w:rPr>
          <w:rFonts w:eastAsia="Calibri"/>
          <w:szCs w:val="22"/>
          <w:lang w:bidi="ar-SA"/>
        </w:rPr>
        <w:t xml:space="preserve"> 2013). Differences in activity can be due to differences in innate activities of an enzyme across species, as well as differences in the presence of other glycosidases in the enzyme preparations.</w:t>
      </w:r>
    </w:p>
    <w:p w:rsidR="00EF472B" w:rsidRDefault="00EF472B"/>
    <w:p w:rsidR="003F4149" w:rsidRPr="003F4149" w:rsidRDefault="003F4149" w:rsidP="003F4149">
      <w:r>
        <w:t>Samples of the honey that was administered in the human pharmacokinetic study</w:t>
      </w:r>
      <w:r w:rsidR="00B93394">
        <w:t xml:space="preserve"> were</w:t>
      </w:r>
      <w:r>
        <w:t xml:space="preserve"> used in these experiments. Enzyme</w:t>
      </w:r>
      <w:r w:rsidR="00B93394">
        <w:t>s</w:t>
      </w:r>
      <w:r>
        <w:t xml:space="preserve"> </w:t>
      </w:r>
      <w:r w:rsidR="00F5232A">
        <w:t xml:space="preserve">tested </w:t>
      </w:r>
      <w:r>
        <w:t xml:space="preserve">were </w:t>
      </w:r>
      <w:r>
        <w:rPr>
          <w:iCs/>
        </w:rPr>
        <w:t>p</w:t>
      </w:r>
      <w:r w:rsidRPr="00C46C9B">
        <w:rPr>
          <w:iCs/>
        </w:rPr>
        <w:t>ectinase</w:t>
      </w:r>
      <w:r w:rsidRPr="003F4149">
        <w:t xml:space="preserve"> from </w:t>
      </w:r>
      <w:r w:rsidRPr="003F4149">
        <w:rPr>
          <w:i/>
          <w:iCs/>
        </w:rPr>
        <w:t>Aspergillus aculeatus</w:t>
      </w:r>
      <w:r w:rsidR="00F5232A">
        <w:rPr>
          <w:i/>
          <w:iCs/>
        </w:rPr>
        <w:t>,</w:t>
      </w:r>
    </w:p>
    <w:p w:rsidR="003F4149" w:rsidRDefault="00F5232A">
      <w:r w:rsidRPr="00C46C9B">
        <w:rPr>
          <w:iCs/>
        </w:rPr>
        <w:t>g</w:t>
      </w:r>
      <w:r w:rsidR="003F4149" w:rsidRPr="00C46C9B">
        <w:rPr>
          <w:iCs/>
        </w:rPr>
        <w:t>lucosidase</w:t>
      </w:r>
      <w:r w:rsidR="003F4149" w:rsidRPr="003F4149">
        <w:t xml:space="preserve"> from </w:t>
      </w:r>
      <w:r w:rsidR="003F4149" w:rsidRPr="003F4149">
        <w:rPr>
          <w:i/>
          <w:iCs/>
        </w:rPr>
        <w:t>Aspergillus niger</w:t>
      </w:r>
      <w:r>
        <w:rPr>
          <w:i/>
          <w:iCs/>
        </w:rPr>
        <w:t>,</w:t>
      </w:r>
      <w:r w:rsidR="003F4149" w:rsidRPr="00C46C9B">
        <w:rPr>
          <w:iCs/>
        </w:rPr>
        <w:t xml:space="preserve"> β</w:t>
      </w:r>
      <w:r>
        <w:rPr>
          <w:iCs/>
        </w:rPr>
        <w:t>-g</w:t>
      </w:r>
      <w:r w:rsidR="003F4149" w:rsidRPr="00C46C9B">
        <w:rPr>
          <w:iCs/>
        </w:rPr>
        <w:t>lucosidase</w:t>
      </w:r>
      <w:r>
        <w:t xml:space="preserve"> from alm</w:t>
      </w:r>
      <w:r w:rsidRPr="00F5232A">
        <w:t xml:space="preserve">ond, </w:t>
      </w:r>
      <w:r w:rsidRPr="00C46C9B">
        <w:rPr>
          <w:iCs/>
        </w:rPr>
        <w:t>c</w:t>
      </w:r>
      <w:r w:rsidR="003F4149" w:rsidRPr="00C46C9B">
        <w:rPr>
          <w:iCs/>
        </w:rPr>
        <w:t>ellulase</w:t>
      </w:r>
      <w:r w:rsidR="003F4149" w:rsidRPr="00F5232A">
        <w:t xml:space="preserve"> fr</w:t>
      </w:r>
      <w:r w:rsidR="003F4149" w:rsidRPr="003F4149">
        <w:t xml:space="preserve">om </w:t>
      </w:r>
      <w:r w:rsidR="003F4149" w:rsidRPr="003F4149">
        <w:rPr>
          <w:i/>
          <w:iCs/>
        </w:rPr>
        <w:t xml:space="preserve">Trichoderma viride </w:t>
      </w:r>
      <w:r>
        <w:t>and</w:t>
      </w:r>
      <w:r w:rsidRPr="00F5232A">
        <w:t xml:space="preserve"> </w:t>
      </w:r>
      <w:r w:rsidRPr="00C46C9B">
        <w:rPr>
          <w:iCs/>
        </w:rPr>
        <w:t>α-g</w:t>
      </w:r>
      <w:r w:rsidR="003F4149" w:rsidRPr="00C46C9B">
        <w:rPr>
          <w:iCs/>
        </w:rPr>
        <w:t>lucosidase</w:t>
      </w:r>
      <w:r>
        <w:rPr>
          <w:iCs/>
        </w:rPr>
        <w:t xml:space="preserve"> from</w:t>
      </w:r>
      <w:r w:rsidR="003F4149" w:rsidRPr="003F4149">
        <w:t xml:space="preserve"> </w:t>
      </w:r>
      <w:r w:rsidR="003F4149" w:rsidRPr="003F4149">
        <w:rPr>
          <w:i/>
          <w:iCs/>
        </w:rPr>
        <w:t xml:space="preserve">Saccharomyces cerevisiae </w:t>
      </w:r>
      <w:r w:rsidR="003F4149" w:rsidRPr="003F4149">
        <w:t>(</w:t>
      </w:r>
      <w:r>
        <w:t xml:space="preserve">all from </w:t>
      </w:r>
      <w:r w:rsidR="003F4149" w:rsidRPr="003F4149">
        <w:t>Sigma</w:t>
      </w:r>
      <w:r>
        <w:t>-Aldrich).</w:t>
      </w:r>
    </w:p>
    <w:p w:rsidR="003F4149" w:rsidRDefault="003F4149"/>
    <w:p w:rsidR="006B303F" w:rsidRDefault="00C00441">
      <w:r>
        <w:t>For the enzyme incubations, h</w:t>
      </w:r>
      <w:r w:rsidR="003F4149" w:rsidRPr="003F4149">
        <w:t xml:space="preserve">oney </w:t>
      </w:r>
      <w:r w:rsidR="00B53A92">
        <w:t xml:space="preserve">(1 g) </w:t>
      </w:r>
      <w:r w:rsidR="003F4149" w:rsidRPr="003F4149">
        <w:t xml:space="preserve">was dissolved in </w:t>
      </w:r>
      <w:r w:rsidR="00B53A92">
        <w:t xml:space="preserve">appropriate </w:t>
      </w:r>
      <w:r w:rsidR="00B93394">
        <w:t>enzyme buffer</w:t>
      </w:r>
      <w:r w:rsidR="00B53A92">
        <w:t xml:space="preserve"> (9 mL)</w:t>
      </w:r>
      <w:r>
        <w:t xml:space="preserve"> and </w:t>
      </w:r>
      <w:r w:rsidR="00295C7F">
        <w:t xml:space="preserve">0.5 mL </w:t>
      </w:r>
      <w:r w:rsidR="00396339">
        <w:t>aliquot</w:t>
      </w:r>
      <w:r>
        <w:t>s</w:t>
      </w:r>
      <w:r w:rsidR="00396339">
        <w:t xml:space="preserve"> of this solution </w:t>
      </w:r>
      <w:r>
        <w:t>were</w:t>
      </w:r>
      <w:r w:rsidR="003F4149" w:rsidRPr="003F4149">
        <w:t xml:space="preserve"> mixed with </w:t>
      </w:r>
      <w:r w:rsidR="00396339">
        <w:t xml:space="preserve">2 </w:t>
      </w:r>
      <w:r w:rsidR="0077469F">
        <w:t>mg</w:t>
      </w:r>
      <w:r w:rsidR="003F4149" w:rsidRPr="003F4149">
        <w:t xml:space="preserve"> of enzyme and incubated</w:t>
      </w:r>
      <w:r>
        <w:t xml:space="preserve"> at 37 </w:t>
      </w:r>
      <w:r w:rsidR="003F4149" w:rsidRPr="003F4149">
        <w:t>°C</w:t>
      </w:r>
      <w:r w:rsidR="0077469F">
        <w:t xml:space="preserve"> for 24 h</w:t>
      </w:r>
      <w:r w:rsidR="00396339">
        <w:t xml:space="preserve">. </w:t>
      </w:r>
      <w:r>
        <w:t xml:space="preserve">Acid incubations were conducted with </w:t>
      </w:r>
      <w:r w:rsidR="006B303F">
        <w:t xml:space="preserve">honey </w:t>
      </w:r>
      <w:r>
        <w:t xml:space="preserve">diluted </w:t>
      </w:r>
      <w:r w:rsidR="006B303F">
        <w:t>1:10 with water</w:t>
      </w:r>
      <w:r>
        <w:t xml:space="preserve"> </w:t>
      </w:r>
      <w:r w:rsidR="006B303F">
        <w:t xml:space="preserve">followed by addition of </w:t>
      </w:r>
      <w:r>
        <w:t xml:space="preserve">10 M hydrochloric acid to give final HCl concentrations of 0.1 M and 1 M. Acid incubations were conducted </w:t>
      </w:r>
      <w:r w:rsidR="00AD5A95" w:rsidRPr="00AD5A95">
        <w:t xml:space="preserve">at 37 °C </w:t>
      </w:r>
      <w:r>
        <w:t>for 1, 6 and 24 h</w:t>
      </w:r>
      <w:r w:rsidR="00295C7F">
        <w:t xml:space="preserve"> and the solutions were neutralised before analysis</w:t>
      </w:r>
      <w:r>
        <w:t xml:space="preserve">. </w:t>
      </w:r>
    </w:p>
    <w:p w:rsidR="00850ECF" w:rsidRDefault="00850ECF"/>
    <w:p w:rsidR="003F4149" w:rsidRDefault="003527C3">
      <w:r>
        <w:t>LC-MS analysis</w:t>
      </w:r>
      <w:r w:rsidR="00396339">
        <w:t xml:space="preserve"> </w:t>
      </w:r>
      <w:r w:rsidR="006B303F">
        <w:t xml:space="preserve">of the incubation solutions </w:t>
      </w:r>
      <w:r w:rsidR="00494209">
        <w:t xml:space="preserve">indicated that none of the enzymes had any substantial effect on releasing tutin from </w:t>
      </w:r>
      <w:r w:rsidR="000F12CD">
        <w:t>tutin gly</w:t>
      </w:r>
      <w:r w:rsidR="00494209">
        <w:t>cosides with the largest ratio of final versus initial tutin concentration being only 1.5x. Similarly, the largest increase observed in the acid incubations was 1.4x.</w:t>
      </w:r>
    </w:p>
    <w:p w:rsidR="00DC5A32" w:rsidRPr="00680F3A" w:rsidRDefault="00DC5A32">
      <w:pPr>
        <w:widowControl/>
        <w:rPr>
          <w:sz w:val="18"/>
        </w:rPr>
      </w:pPr>
    </w:p>
    <w:p w:rsidR="00DC5A32" w:rsidRPr="00DC5A32" w:rsidRDefault="00DC5A32" w:rsidP="00DC5A32">
      <w:pPr>
        <w:widowControl/>
        <w:rPr>
          <w:rFonts w:eastAsia="Calibri"/>
          <w:b/>
          <w:szCs w:val="22"/>
          <w:lang w:bidi="ar-SA"/>
        </w:rPr>
      </w:pPr>
      <w:r w:rsidRPr="00DC5A32">
        <w:rPr>
          <w:rFonts w:eastAsia="Calibri"/>
          <w:b/>
          <w:szCs w:val="22"/>
          <w:lang w:bidi="ar-SA"/>
        </w:rPr>
        <w:t>References</w:t>
      </w:r>
    </w:p>
    <w:p w:rsidR="00DC5A32" w:rsidRPr="00680F3A" w:rsidRDefault="00DC5A32" w:rsidP="00DC5A32">
      <w:pPr>
        <w:widowControl/>
        <w:rPr>
          <w:rFonts w:eastAsia="Calibri"/>
          <w:sz w:val="16"/>
          <w:szCs w:val="22"/>
          <w:lang w:bidi="ar-SA"/>
        </w:rPr>
      </w:pPr>
    </w:p>
    <w:p w:rsidR="00DC5A32" w:rsidRPr="00BD21BD" w:rsidRDefault="00DC5A32" w:rsidP="00DC5A32">
      <w:pPr>
        <w:widowControl/>
        <w:rPr>
          <w:rFonts w:eastAsia="Calibri"/>
          <w:sz w:val="20"/>
          <w:szCs w:val="22"/>
          <w:lang w:bidi="ar-SA"/>
        </w:rPr>
      </w:pPr>
      <w:r w:rsidRPr="00BD21BD">
        <w:rPr>
          <w:rFonts w:eastAsia="Calibri"/>
          <w:sz w:val="20"/>
          <w:szCs w:val="22"/>
          <w:lang w:bidi="ar-SA"/>
        </w:rPr>
        <w:t xml:space="preserve">Beloglazova NV, De Boevre M, Goryacheva IY, Werbrouck S, Guo Y, De Saeger S (2013) Immunochemical approach for zearalenone-4-glucoside determination. </w:t>
      </w:r>
      <w:r w:rsidRPr="00BD21BD">
        <w:rPr>
          <w:rFonts w:eastAsia="Calibri"/>
          <w:i/>
          <w:sz w:val="20"/>
          <w:szCs w:val="22"/>
          <w:lang w:bidi="ar-SA"/>
        </w:rPr>
        <w:t>Talanta</w:t>
      </w:r>
      <w:r w:rsidR="006D3768" w:rsidRPr="00BD21BD">
        <w:rPr>
          <w:rFonts w:eastAsia="Calibri"/>
          <w:i/>
          <w:sz w:val="20"/>
          <w:szCs w:val="22"/>
          <w:lang w:bidi="ar-SA"/>
        </w:rPr>
        <w:t>,</w:t>
      </w:r>
      <w:r w:rsidRPr="00BD21BD">
        <w:rPr>
          <w:rFonts w:eastAsia="Calibri"/>
          <w:i/>
          <w:sz w:val="20"/>
          <w:szCs w:val="22"/>
          <w:lang w:bidi="ar-SA"/>
        </w:rPr>
        <w:t xml:space="preserve"> </w:t>
      </w:r>
      <w:r w:rsidRPr="00BD21BD">
        <w:rPr>
          <w:rFonts w:eastAsia="Calibri"/>
          <w:b/>
          <w:sz w:val="20"/>
          <w:szCs w:val="22"/>
          <w:lang w:bidi="ar-SA"/>
        </w:rPr>
        <w:t>15</w:t>
      </w:r>
      <w:r w:rsidR="006D3768" w:rsidRPr="00BD21BD">
        <w:rPr>
          <w:rFonts w:eastAsia="Calibri"/>
          <w:sz w:val="20"/>
          <w:szCs w:val="22"/>
          <w:lang w:bidi="ar-SA"/>
        </w:rPr>
        <w:t>(</w:t>
      </w:r>
      <w:r w:rsidRPr="00BD21BD">
        <w:rPr>
          <w:rFonts w:eastAsia="Calibri"/>
          <w:sz w:val="20"/>
          <w:szCs w:val="22"/>
          <w:lang w:bidi="ar-SA"/>
        </w:rPr>
        <w:t>106</w:t>
      </w:r>
      <w:r w:rsidR="006D3768" w:rsidRPr="00BD21BD">
        <w:rPr>
          <w:rFonts w:eastAsia="Calibri"/>
          <w:sz w:val="20"/>
          <w:szCs w:val="22"/>
          <w:lang w:bidi="ar-SA"/>
        </w:rPr>
        <w:t>)</w:t>
      </w:r>
      <w:r w:rsidRPr="00BD21BD">
        <w:rPr>
          <w:rFonts w:eastAsia="Calibri"/>
          <w:sz w:val="20"/>
          <w:szCs w:val="22"/>
          <w:lang w:bidi="ar-SA"/>
        </w:rPr>
        <w:t>:422-430.</w:t>
      </w:r>
    </w:p>
    <w:p w:rsidR="00DC5A32" w:rsidRPr="00680F3A" w:rsidRDefault="00DC5A32" w:rsidP="00DC5A32">
      <w:pPr>
        <w:widowControl/>
        <w:rPr>
          <w:rFonts w:eastAsia="Calibri"/>
          <w:sz w:val="16"/>
          <w:szCs w:val="22"/>
          <w:lang w:bidi="ar-SA"/>
        </w:rPr>
      </w:pPr>
    </w:p>
    <w:p w:rsidR="00DC5A32" w:rsidRPr="00BD21BD" w:rsidRDefault="00DC5A32" w:rsidP="00DC5A32">
      <w:pPr>
        <w:widowControl/>
        <w:rPr>
          <w:rFonts w:eastAsia="Calibri"/>
          <w:sz w:val="20"/>
          <w:szCs w:val="22"/>
          <w:lang w:bidi="ar-SA"/>
        </w:rPr>
      </w:pPr>
      <w:r w:rsidRPr="00BD21BD">
        <w:rPr>
          <w:rFonts w:eastAsia="Calibri"/>
          <w:sz w:val="20"/>
          <w:szCs w:val="22"/>
          <w:lang w:bidi="ar-SA"/>
        </w:rPr>
        <w:t xml:space="preserve">Kotsos MP, Aligiannis N, Myrianthopoulos V, Mitaku S, Skaltsounis L (2008) Sesquiterpene lactones from </w:t>
      </w:r>
      <w:r w:rsidRPr="00BD21BD">
        <w:rPr>
          <w:rFonts w:eastAsia="Calibri"/>
          <w:i/>
          <w:sz w:val="20"/>
          <w:szCs w:val="22"/>
          <w:lang w:bidi="ar-SA"/>
        </w:rPr>
        <w:t>Staehelina fruticosa</w:t>
      </w:r>
      <w:r w:rsidRPr="00BD21BD">
        <w:rPr>
          <w:rFonts w:eastAsia="Calibri"/>
          <w:sz w:val="20"/>
          <w:szCs w:val="22"/>
          <w:lang w:bidi="ar-SA"/>
        </w:rPr>
        <w:t xml:space="preserve">. </w:t>
      </w:r>
      <w:r w:rsidRPr="00BD21BD">
        <w:rPr>
          <w:rFonts w:eastAsia="Calibri"/>
          <w:i/>
          <w:sz w:val="20"/>
          <w:szCs w:val="22"/>
          <w:lang w:bidi="ar-SA"/>
        </w:rPr>
        <w:t>J Nat Prod</w:t>
      </w:r>
      <w:r w:rsidR="006D3768" w:rsidRPr="00BD21BD">
        <w:rPr>
          <w:rFonts w:eastAsia="Calibri"/>
          <w:i/>
          <w:sz w:val="20"/>
          <w:szCs w:val="22"/>
          <w:lang w:bidi="ar-SA"/>
        </w:rPr>
        <w:t>,</w:t>
      </w:r>
      <w:r w:rsidRPr="00BD21BD">
        <w:rPr>
          <w:rFonts w:eastAsia="Calibri"/>
          <w:sz w:val="20"/>
          <w:szCs w:val="22"/>
          <w:lang w:bidi="ar-SA"/>
        </w:rPr>
        <w:t xml:space="preserve"> </w:t>
      </w:r>
      <w:r w:rsidRPr="00BD21BD">
        <w:rPr>
          <w:rFonts w:eastAsia="Calibri"/>
          <w:b/>
          <w:sz w:val="20"/>
          <w:szCs w:val="22"/>
          <w:lang w:bidi="ar-SA"/>
        </w:rPr>
        <w:t>71</w:t>
      </w:r>
      <w:r w:rsidRPr="00BD21BD">
        <w:rPr>
          <w:rFonts w:eastAsia="Calibri"/>
          <w:sz w:val="20"/>
          <w:szCs w:val="22"/>
          <w:lang w:bidi="ar-SA"/>
        </w:rPr>
        <w:t>(5):847-851.</w:t>
      </w:r>
    </w:p>
    <w:p w:rsidR="00DC5A32" w:rsidRPr="00680F3A" w:rsidRDefault="00DC5A32" w:rsidP="00DC5A32">
      <w:pPr>
        <w:widowControl/>
        <w:rPr>
          <w:rFonts w:eastAsia="Calibri"/>
          <w:sz w:val="16"/>
          <w:szCs w:val="22"/>
          <w:lang w:bidi="ar-SA"/>
        </w:rPr>
      </w:pPr>
    </w:p>
    <w:p w:rsidR="00DC5A32" w:rsidRPr="00BD21BD" w:rsidRDefault="00DC5A32" w:rsidP="00DC5A32">
      <w:pPr>
        <w:widowControl/>
        <w:rPr>
          <w:rFonts w:eastAsia="Calibri"/>
          <w:sz w:val="20"/>
          <w:szCs w:val="22"/>
          <w:lang w:bidi="ar-SA"/>
        </w:rPr>
      </w:pPr>
      <w:r w:rsidRPr="00BD21BD">
        <w:rPr>
          <w:rFonts w:eastAsia="Calibri"/>
          <w:sz w:val="20"/>
          <w:szCs w:val="22"/>
          <w:lang w:bidi="ar-SA"/>
        </w:rPr>
        <w:t xml:space="preserve">Kouno I, Baba N, Hashimoto M, Kawano N, Yang C-S, Sato S (1989) A new sesquiterpene lactone and its glucoside from the pericarps of </w:t>
      </w:r>
      <w:r w:rsidRPr="00BD21BD">
        <w:rPr>
          <w:rFonts w:eastAsia="Calibri"/>
          <w:i/>
          <w:sz w:val="20"/>
          <w:szCs w:val="22"/>
          <w:lang w:bidi="ar-SA"/>
        </w:rPr>
        <w:t>Illicium majus</w:t>
      </w:r>
      <w:r w:rsidRPr="00BD21BD">
        <w:rPr>
          <w:rFonts w:eastAsia="Calibri"/>
          <w:sz w:val="20"/>
          <w:szCs w:val="22"/>
          <w:lang w:bidi="ar-SA"/>
        </w:rPr>
        <w:t xml:space="preserve">. </w:t>
      </w:r>
      <w:r w:rsidRPr="00BD21BD">
        <w:rPr>
          <w:rFonts w:eastAsia="Calibri"/>
          <w:i/>
          <w:sz w:val="20"/>
          <w:szCs w:val="22"/>
          <w:lang w:bidi="ar-SA"/>
        </w:rPr>
        <w:t>Chem Pharm Bull</w:t>
      </w:r>
      <w:r w:rsidR="006D3768" w:rsidRPr="00BD21BD">
        <w:rPr>
          <w:rFonts w:eastAsia="Calibri"/>
          <w:i/>
          <w:sz w:val="20"/>
          <w:szCs w:val="22"/>
          <w:lang w:bidi="ar-SA"/>
        </w:rPr>
        <w:t>,</w:t>
      </w:r>
      <w:r w:rsidRPr="00BD21BD">
        <w:rPr>
          <w:rFonts w:eastAsia="Calibri"/>
          <w:sz w:val="20"/>
          <w:szCs w:val="22"/>
          <w:lang w:bidi="ar-SA"/>
        </w:rPr>
        <w:t xml:space="preserve"> </w:t>
      </w:r>
      <w:r w:rsidRPr="00BD21BD">
        <w:rPr>
          <w:rFonts w:eastAsia="Calibri"/>
          <w:b/>
          <w:sz w:val="20"/>
          <w:szCs w:val="22"/>
          <w:lang w:bidi="ar-SA"/>
        </w:rPr>
        <w:t>37</w:t>
      </w:r>
      <w:r w:rsidRPr="00BD21BD">
        <w:rPr>
          <w:rFonts w:eastAsia="Calibri"/>
          <w:sz w:val="20"/>
          <w:szCs w:val="22"/>
          <w:lang w:bidi="ar-SA"/>
        </w:rPr>
        <w:t>(9):2427-2430.</w:t>
      </w:r>
    </w:p>
    <w:p w:rsidR="00DC5A32" w:rsidRPr="00680F3A" w:rsidRDefault="00DC5A32" w:rsidP="00DC5A32">
      <w:pPr>
        <w:widowControl/>
        <w:rPr>
          <w:rFonts w:eastAsia="Calibri"/>
          <w:sz w:val="16"/>
          <w:szCs w:val="22"/>
          <w:lang w:bidi="ar-SA"/>
        </w:rPr>
      </w:pPr>
    </w:p>
    <w:p w:rsidR="00DC5A32" w:rsidRPr="00BD21BD" w:rsidRDefault="00DC5A32" w:rsidP="00DC5A32">
      <w:pPr>
        <w:widowControl/>
        <w:rPr>
          <w:rFonts w:eastAsia="Calibri"/>
          <w:sz w:val="20"/>
          <w:szCs w:val="22"/>
          <w:lang w:bidi="ar-SA"/>
        </w:rPr>
      </w:pPr>
      <w:r w:rsidRPr="00BD21BD">
        <w:rPr>
          <w:rFonts w:eastAsia="Calibri"/>
          <w:sz w:val="20"/>
          <w:szCs w:val="22"/>
          <w:lang w:bidi="ar-SA"/>
        </w:rPr>
        <w:t xml:space="preserve">Pricelius S, Murkovic M, Souter P, Guebitz GM (2009) Substrate specificities of glycosidases from </w:t>
      </w:r>
      <w:r w:rsidRPr="00BD21BD">
        <w:rPr>
          <w:rFonts w:eastAsia="Calibri"/>
          <w:i/>
          <w:sz w:val="20"/>
          <w:szCs w:val="22"/>
          <w:lang w:bidi="ar-SA"/>
        </w:rPr>
        <w:t>Aspergillus</w:t>
      </w:r>
      <w:r w:rsidRPr="00BD21BD">
        <w:rPr>
          <w:rFonts w:eastAsia="Calibri"/>
          <w:sz w:val="20"/>
          <w:szCs w:val="22"/>
          <w:lang w:bidi="ar-SA"/>
        </w:rPr>
        <w:t xml:space="preserve"> species pectinase preparations on elderberry anthocyanins. </w:t>
      </w:r>
      <w:r w:rsidRPr="00BD21BD">
        <w:rPr>
          <w:rFonts w:eastAsia="Calibri"/>
          <w:i/>
          <w:sz w:val="20"/>
          <w:szCs w:val="22"/>
          <w:lang w:bidi="ar-SA"/>
        </w:rPr>
        <w:t>J Agric Food Chem</w:t>
      </w:r>
      <w:r w:rsidR="006D3768" w:rsidRPr="00BD21BD">
        <w:rPr>
          <w:rFonts w:eastAsia="Calibri"/>
          <w:i/>
          <w:sz w:val="20"/>
          <w:szCs w:val="22"/>
          <w:lang w:bidi="ar-SA"/>
        </w:rPr>
        <w:t>,</w:t>
      </w:r>
      <w:r w:rsidRPr="00BD21BD">
        <w:rPr>
          <w:rFonts w:eastAsia="Calibri"/>
          <w:i/>
          <w:sz w:val="20"/>
          <w:szCs w:val="22"/>
          <w:lang w:bidi="ar-SA"/>
        </w:rPr>
        <w:t xml:space="preserve"> </w:t>
      </w:r>
      <w:r w:rsidRPr="00BD21BD">
        <w:rPr>
          <w:rFonts w:eastAsia="Calibri"/>
          <w:b/>
          <w:sz w:val="20"/>
          <w:szCs w:val="22"/>
          <w:lang w:bidi="ar-SA"/>
        </w:rPr>
        <w:t>57</w:t>
      </w:r>
      <w:r w:rsidRPr="00BD21BD">
        <w:rPr>
          <w:rFonts w:eastAsia="Calibri"/>
          <w:sz w:val="20"/>
          <w:szCs w:val="22"/>
          <w:lang w:bidi="ar-SA"/>
        </w:rPr>
        <w:t>(3):1006-1012.</w:t>
      </w:r>
    </w:p>
    <w:p w:rsidR="00DC5A32" w:rsidRPr="00680F3A" w:rsidRDefault="00DC5A32" w:rsidP="00DC5A32">
      <w:pPr>
        <w:widowControl/>
        <w:rPr>
          <w:rFonts w:eastAsia="Calibri"/>
          <w:sz w:val="16"/>
          <w:szCs w:val="22"/>
          <w:lang w:bidi="ar-SA"/>
        </w:rPr>
      </w:pPr>
    </w:p>
    <w:p w:rsidR="00786BEC" w:rsidRPr="00C46C9B" w:rsidRDefault="00DC5A32">
      <w:pPr>
        <w:widowControl/>
        <w:rPr>
          <w:b/>
          <w:bCs/>
          <w:szCs w:val="22"/>
          <w:lang w:bidi="ar-SA"/>
        </w:rPr>
      </w:pPr>
      <w:r w:rsidRPr="00BD21BD">
        <w:rPr>
          <w:rFonts w:eastAsia="Calibri"/>
          <w:sz w:val="20"/>
          <w:szCs w:val="22"/>
          <w:lang w:bidi="ar-SA"/>
        </w:rPr>
        <w:t xml:space="preserve">Riou C, Salmon JM, Vallier MJ, Günata Z, Barre P (1998) Purification, characterization, and substrate specificity of a novel highly glucose-tolerant beta-glucosidase from </w:t>
      </w:r>
      <w:r w:rsidRPr="00BD21BD">
        <w:rPr>
          <w:rFonts w:eastAsia="Calibri"/>
          <w:i/>
          <w:sz w:val="20"/>
          <w:szCs w:val="22"/>
          <w:lang w:bidi="ar-SA"/>
        </w:rPr>
        <w:t>Aspergillus oryzae</w:t>
      </w:r>
      <w:r w:rsidRPr="00BD21BD">
        <w:rPr>
          <w:rFonts w:eastAsia="Calibri"/>
          <w:sz w:val="20"/>
          <w:szCs w:val="22"/>
          <w:lang w:bidi="ar-SA"/>
        </w:rPr>
        <w:t xml:space="preserve">. </w:t>
      </w:r>
      <w:r w:rsidRPr="00BD21BD">
        <w:rPr>
          <w:rFonts w:eastAsia="Calibri"/>
          <w:i/>
          <w:sz w:val="20"/>
          <w:szCs w:val="22"/>
          <w:lang w:bidi="ar-SA"/>
        </w:rPr>
        <w:t>Appl Environ Microbiol</w:t>
      </w:r>
      <w:r w:rsidR="006D3768" w:rsidRPr="00BD21BD">
        <w:rPr>
          <w:rFonts w:eastAsia="Calibri"/>
          <w:i/>
          <w:sz w:val="20"/>
          <w:szCs w:val="22"/>
          <w:lang w:bidi="ar-SA"/>
        </w:rPr>
        <w:t>,</w:t>
      </w:r>
      <w:r w:rsidRPr="00BD21BD">
        <w:rPr>
          <w:rFonts w:eastAsia="Calibri"/>
          <w:sz w:val="20"/>
          <w:szCs w:val="22"/>
          <w:lang w:bidi="ar-SA"/>
        </w:rPr>
        <w:t xml:space="preserve"> </w:t>
      </w:r>
      <w:r w:rsidRPr="00BD21BD">
        <w:rPr>
          <w:rFonts w:eastAsia="Calibri"/>
          <w:b/>
          <w:sz w:val="20"/>
          <w:szCs w:val="22"/>
          <w:lang w:bidi="ar-SA"/>
        </w:rPr>
        <w:t>64</w:t>
      </w:r>
      <w:r w:rsidRPr="00BD21BD">
        <w:rPr>
          <w:rFonts w:eastAsia="Calibri"/>
          <w:sz w:val="20"/>
          <w:szCs w:val="22"/>
          <w:lang w:bidi="ar-SA"/>
        </w:rPr>
        <w:t>(10):3607-3614.</w:t>
      </w:r>
      <w:r w:rsidR="00786BEC" w:rsidRPr="00C23EAB">
        <w:rPr>
          <w:szCs w:val="22"/>
        </w:rPr>
        <w:br w:type="page"/>
      </w:r>
    </w:p>
    <w:p w:rsidR="00620C5F" w:rsidRDefault="00511466" w:rsidP="00C46C9B">
      <w:pPr>
        <w:pStyle w:val="Heading1"/>
      </w:pPr>
      <w:bookmarkStart w:id="61" w:name="_Toc401143940"/>
      <w:r>
        <w:lastRenderedPageBreak/>
        <w:t xml:space="preserve">Appendix </w:t>
      </w:r>
      <w:r w:rsidR="00786BEC">
        <w:t>4</w:t>
      </w:r>
      <w:bookmarkEnd w:id="61"/>
    </w:p>
    <w:p w:rsidR="00620C5F" w:rsidRDefault="00620C5F" w:rsidP="00BC4D1D">
      <w:pPr>
        <w:pStyle w:val="Heading3"/>
      </w:pPr>
      <w:bookmarkStart w:id="62" w:name="_Toc401143941"/>
      <w:r w:rsidRPr="00A437D6">
        <w:t xml:space="preserve">Variability in </w:t>
      </w:r>
      <w:r w:rsidRPr="001E7DF3">
        <w:t xml:space="preserve">the </w:t>
      </w:r>
      <w:r w:rsidRPr="00F91273">
        <w:t>ratio</w:t>
      </w:r>
      <w:r w:rsidRPr="001E7DF3">
        <w:t xml:space="preserve"> of tutin to </w:t>
      </w:r>
      <w:r w:rsidR="000F12CD">
        <w:t>tutin gly</w:t>
      </w:r>
      <w:r w:rsidRPr="001E7DF3">
        <w:t>cosides in honey samples</w:t>
      </w:r>
      <w:bookmarkEnd w:id="62"/>
    </w:p>
    <w:p w:rsidR="00AB4303" w:rsidRDefault="00AB4303" w:rsidP="00C46C9B">
      <w:pPr>
        <w:pBdr>
          <w:top w:val="single" w:sz="4" w:space="1" w:color="auto"/>
          <w:left w:val="single" w:sz="4" w:space="4" w:color="auto"/>
          <w:bottom w:val="single" w:sz="4" w:space="1" w:color="auto"/>
          <w:right w:val="single" w:sz="4" w:space="4" w:color="auto"/>
        </w:pBdr>
        <w:spacing w:before="40" w:after="40"/>
        <w:rPr>
          <w:bCs/>
          <w:lang w:eastAsia="en-AU" w:bidi="ar-SA"/>
        </w:rPr>
      </w:pPr>
      <w:r w:rsidRPr="00AB4303">
        <w:rPr>
          <w:lang w:eastAsia="en-AU" w:bidi="ar-SA"/>
        </w:rPr>
        <w:t>Cooney JM,</w:t>
      </w:r>
      <w:r>
        <w:rPr>
          <w:lang w:eastAsia="en-AU" w:bidi="ar-SA"/>
        </w:rPr>
        <w:t xml:space="preserve"> Jensen DJ, Sansom CE, Perry NB (2013)</w:t>
      </w:r>
      <w:r w:rsidRPr="00AB4303">
        <w:rPr>
          <w:lang w:eastAsia="en-AU" w:bidi="ar-SA"/>
        </w:rPr>
        <w:t xml:space="preserve">. </w:t>
      </w:r>
      <w:r w:rsidRPr="00C46C9B">
        <w:rPr>
          <w:bCs/>
          <w:lang w:eastAsia="en-AU" w:bidi="ar-SA"/>
        </w:rPr>
        <w:t xml:space="preserve">Tutin to </w:t>
      </w:r>
      <w:r w:rsidR="000F12CD">
        <w:rPr>
          <w:bCs/>
          <w:lang w:eastAsia="en-AU" w:bidi="ar-SA"/>
        </w:rPr>
        <w:t>tutin gly</w:t>
      </w:r>
      <w:r w:rsidRPr="00C46C9B">
        <w:rPr>
          <w:bCs/>
          <w:lang w:eastAsia="en-AU" w:bidi="ar-SA"/>
        </w:rPr>
        <w:t>coside ratios in various New Zealand honeys</w:t>
      </w:r>
      <w:r>
        <w:rPr>
          <w:bCs/>
          <w:lang w:eastAsia="en-AU" w:bidi="ar-SA"/>
        </w:rPr>
        <w:t>.</w:t>
      </w:r>
      <w:r>
        <w:rPr>
          <w:lang w:eastAsia="en-AU" w:bidi="ar-SA"/>
        </w:rPr>
        <w:t xml:space="preserve"> </w:t>
      </w:r>
      <w:r w:rsidRPr="00AB4303">
        <w:rPr>
          <w:lang w:eastAsia="en-AU" w:bidi="ar-SA"/>
        </w:rPr>
        <w:t xml:space="preserve">The New Zealand Institute for Plant &amp; Food Research Ltd. </w:t>
      </w:r>
      <w:r w:rsidR="008D6729" w:rsidRPr="007F1125">
        <w:rPr>
          <w:lang w:eastAsia="en-AU" w:bidi="ar-SA"/>
        </w:rPr>
        <w:t>Report No.</w:t>
      </w:r>
      <w:r w:rsidR="007F1125">
        <w:rPr>
          <w:lang w:eastAsia="en-AU" w:bidi="ar-SA"/>
        </w:rPr>
        <w:t xml:space="preserve"> </w:t>
      </w:r>
      <w:r w:rsidR="007F1125" w:rsidRPr="007F1125">
        <w:rPr>
          <w:lang w:eastAsia="en-AU" w:bidi="ar-SA"/>
        </w:rPr>
        <w:t>PFR SPTS No. 9239</w:t>
      </w:r>
      <w:r w:rsidR="007F1125">
        <w:rPr>
          <w:lang w:eastAsia="en-AU" w:bidi="ar-SA"/>
        </w:rPr>
        <w:t xml:space="preserve">. </w:t>
      </w:r>
      <w:r w:rsidRPr="00C46C9B">
        <w:rPr>
          <w:bCs/>
          <w:lang w:eastAsia="en-AU" w:bidi="ar-SA"/>
        </w:rPr>
        <w:t>November 2013</w:t>
      </w:r>
      <w:r>
        <w:rPr>
          <w:bCs/>
          <w:lang w:eastAsia="en-AU" w:bidi="ar-SA"/>
        </w:rPr>
        <w:t>.</w:t>
      </w:r>
      <w:r w:rsidR="00A227ED">
        <w:rPr>
          <w:bCs/>
          <w:lang w:eastAsia="en-AU" w:bidi="ar-SA"/>
        </w:rPr>
        <w:t xml:space="preserve"> Unpublished report.</w:t>
      </w:r>
    </w:p>
    <w:p w:rsidR="00AB4303" w:rsidRDefault="00AB4303">
      <w:pPr>
        <w:rPr>
          <w:bCs/>
          <w:lang w:eastAsia="en-AU" w:bidi="ar-SA"/>
        </w:rPr>
      </w:pPr>
    </w:p>
    <w:p w:rsidR="00A355A0" w:rsidRDefault="00B84B44">
      <w:pPr>
        <w:rPr>
          <w:bCs/>
          <w:lang w:eastAsia="en-AU" w:bidi="ar-SA"/>
        </w:rPr>
      </w:pPr>
      <w:r>
        <w:rPr>
          <w:bCs/>
          <w:lang w:eastAsia="en-AU" w:bidi="ar-SA"/>
        </w:rPr>
        <w:t>The concentrations of tutin a</w:t>
      </w:r>
      <w:r w:rsidR="00180CE2">
        <w:rPr>
          <w:bCs/>
          <w:lang w:eastAsia="en-AU" w:bidi="ar-SA"/>
        </w:rPr>
        <w:t xml:space="preserve">nd hyenanchin were determined </w:t>
      </w:r>
      <w:r w:rsidR="003352BF">
        <w:rPr>
          <w:bCs/>
          <w:lang w:eastAsia="en-AU" w:bidi="ar-SA"/>
        </w:rPr>
        <w:t xml:space="preserve">by LC-MS/MS </w:t>
      </w:r>
      <w:r w:rsidR="00180CE2">
        <w:rPr>
          <w:bCs/>
          <w:lang w:eastAsia="en-AU" w:bidi="ar-SA"/>
        </w:rPr>
        <w:t xml:space="preserve">for </w:t>
      </w:r>
      <w:r w:rsidR="00397731">
        <w:rPr>
          <w:bCs/>
          <w:lang w:eastAsia="en-AU" w:bidi="ar-SA"/>
        </w:rPr>
        <w:t>15</w:t>
      </w:r>
      <w:r>
        <w:rPr>
          <w:bCs/>
          <w:lang w:eastAsia="en-AU" w:bidi="ar-SA"/>
        </w:rPr>
        <w:t xml:space="preserve"> honey samples</w:t>
      </w:r>
      <w:r w:rsidR="001A1F92">
        <w:rPr>
          <w:bCs/>
          <w:lang w:eastAsia="en-AU" w:bidi="ar-SA"/>
        </w:rPr>
        <w:t xml:space="preserve"> harvested at various times and locations in New Zealand</w:t>
      </w:r>
      <w:r>
        <w:rPr>
          <w:bCs/>
          <w:lang w:eastAsia="en-AU" w:bidi="ar-SA"/>
        </w:rPr>
        <w:t xml:space="preserve">. </w:t>
      </w:r>
      <w:r w:rsidR="001A1F92">
        <w:rPr>
          <w:bCs/>
          <w:lang w:eastAsia="en-AU" w:bidi="ar-SA"/>
        </w:rPr>
        <w:t xml:space="preserve">The relative concentrations of </w:t>
      </w:r>
      <w:r w:rsidR="001A38E3">
        <w:rPr>
          <w:bCs/>
          <w:lang w:eastAsia="en-AU" w:bidi="ar-SA"/>
        </w:rPr>
        <w:t xml:space="preserve">the </w:t>
      </w:r>
      <w:r w:rsidR="001A1F92">
        <w:rPr>
          <w:bCs/>
          <w:lang w:eastAsia="en-AU" w:bidi="ar-SA"/>
        </w:rPr>
        <w:t xml:space="preserve">four major </w:t>
      </w:r>
      <w:r w:rsidR="000F12CD">
        <w:rPr>
          <w:bCs/>
          <w:lang w:eastAsia="en-AU" w:bidi="ar-SA"/>
        </w:rPr>
        <w:t>tutin gly</w:t>
      </w:r>
      <w:r w:rsidR="001A1F92">
        <w:rPr>
          <w:bCs/>
          <w:lang w:eastAsia="en-AU" w:bidi="ar-SA"/>
        </w:rPr>
        <w:t>cosides were also deter</w:t>
      </w:r>
      <w:r w:rsidR="005E5548">
        <w:rPr>
          <w:bCs/>
          <w:lang w:eastAsia="en-AU" w:bidi="ar-SA"/>
        </w:rPr>
        <w:t xml:space="preserve">mined for these honey samples. </w:t>
      </w:r>
      <w:r w:rsidR="003871C6">
        <w:rPr>
          <w:bCs/>
          <w:lang w:eastAsia="en-AU" w:bidi="ar-SA"/>
        </w:rPr>
        <w:t xml:space="preserve">These </w:t>
      </w:r>
      <w:r w:rsidR="000F12CD">
        <w:rPr>
          <w:bCs/>
          <w:lang w:eastAsia="en-AU" w:bidi="ar-SA"/>
        </w:rPr>
        <w:t>tutin gly</w:t>
      </w:r>
      <w:r w:rsidR="003871C6">
        <w:rPr>
          <w:bCs/>
          <w:lang w:eastAsia="en-AU" w:bidi="ar-SA"/>
        </w:rPr>
        <w:t xml:space="preserve">cosides are a mono-glycoside (designated gly-A), two di-glycosides (digly-C and digly-D) and a tri-glycoside (trigly-H). </w:t>
      </w:r>
      <w:r w:rsidR="000C530E">
        <w:rPr>
          <w:bCs/>
          <w:lang w:eastAsia="en-AU" w:bidi="ar-SA"/>
        </w:rPr>
        <w:t xml:space="preserve">Chemical reference </w:t>
      </w:r>
      <w:r w:rsidR="005E5548" w:rsidRPr="005E5548">
        <w:rPr>
          <w:bCs/>
          <w:lang w:eastAsia="en-AU" w:bidi="ar-SA"/>
        </w:rPr>
        <w:t xml:space="preserve">standards </w:t>
      </w:r>
      <w:r w:rsidR="000C530E">
        <w:rPr>
          <w:bCs/>
          <w:lang w:eastAsia="en-AU" w:bidi="ar-SA"/>
        </w:rPr>
        <w:t xml:space="preserve">for these </w:t>
      </w:r>
      <w:r w:rsidR="000F12CD">
        <w:rPr>
          <w:bCs/>
          <w:lang w:eastAsia="en-AU" w:bidi="ar-SA"/>
        </w:rPr>
        <w:t>tutin gly</w:t>
      </w:r>
      <w:r w:rsidR="000C530E">
        <w:rPr>
          <w:bCs/>
          <w:lang w:eastAsia="en-AU" w:bidi="ar-SA"/>
        </w:rPr>
        <w:t>cosides are</w:t>
      </w:r>
      <w:r w:rsidR="005E5548">
        <w:rPr>
          <w:bCs/>
          <w:lang w:eastAsia="en-AU" w:bidi="ar-SA"/>
        </w:rPr>
        <w:t xml:space="preserve"> not available</w:t>
      </w:r>
      <w:r w:rsidR="005E5548" w:rsidRPr="005E5548">
        <w:rPr>
          <w:bCs/>
          <w:lang w:eastAsia="en-AU" w:bidi="ar-SA"/>
        </w:rPr>
        <w:t xml:space="preserve">, </w:t>
      </w:r>
      <w:r w:rsidR="000C530E">
        <w:rPr>
          <w:bCs/>
          <w:lang w:eastAsia="en-AU" w:bidi="ar-SA"/>
        </w:rPr>
        <w:t xml:space="preserve">therefore the </w:t>
      </w:r>
      <w:r w:rsidR="00DC2C3C">
        <w:rPr>
          <w:bCs/>
          <w:lang w:eastAsia="en-AU" w:bidi="ar-SA"/>
        </w:rPr>
        <w:t>concentrations of</w:t>
      </w:r>
      <w:r w:rsidR="005E5548" w:rsidRPr="005E5548">
        <w:rPr>
          <w:bCs/>
          <w:lang w:eastAsia="en-AU" w:bidi="ar-SA"/>
        </w:rPr>
        <w:t xml:space="preserve"> these analytes </w:t>
      </w:r>
      <w:r w:rsidR="005E5548">
        <w:rPr>
          <w:bCs/>
          <w:lang w:eastAsia="en-AU" w:bidi="ar-SA"/>
        </w:rPr>
        <w:t>were</w:t>
      </w:r>
      <w:r w:rsidR="005E5548" w:rsidRPr="005E5548">
        <w:rPr>
          <w:bCs/>
          <w:lang w:eastAsia="en-AU" w:bidi="ar-SA"/>
        </w:rPr>
        <w:t xml:space="preserve"> calculated as ‘tutin equivalents’ by c</w:t>
      </w:r>
      <w:r w:rsidR="000C530E">
        <w:rPr>
          <w:bCs/>
          <w:lang w:eastAsia="en-AU" w:bidi="ar-SA"/>
        </w:rPr>
        <w:t xml:space="preserve">onverting the mass spectral </w:t>
      </w:r>
      <w:r w:rsidR="005E5548" w:rsidRPr="005E5548">
        <w:rPr>
          <w:bCs/>
          <w:lang w:eastAsia="en-AU" w:bidi="ar-SA"/>
        </w:rPr>
        <w:t xml:space="preserve">transition area </w:t>
      </w:r>
      <w:r w:rsidR="000C530E">
        <w:rPr>
          <w:bCs/>
          <w:lang w:eastAsia="en-AU" w:bidi="ar-SA"/>
        </w:rPr>
        <w:t xml:space="preserve">for each glycoside </w:t>
      </w:r>
      <w:r w:rsidR="005E5548" w:rsidRPr="005E5548">
        <w:rPr>
          <w:bCs/>
          <w:lang w:eastAsia="en-AU" w:bidi="ar-SA"/>
        </w:rPr>
        <w:t>to an equivalent tutin concentration using the tutin calibration curve and adjuste</w:t>
      </w:r>
      <w:r w:rsidR="005E5548">
        <w:rPr>
          <w:bCs/>
          <w:lang w:eastAsia="en-AU" w:bidi="ar-SA"/>
        </w:rPr>
        <w:t>d for honey weight. T</w:t>
      </w:r>
      <w:r w:rsidR="005E5548" w:rsidRPr="005E5548">
        <w:rPr>
          <w:bCs/>
          <w:lang w:eastAsia="en-AU" w:bidi="ar-SA"/>
        </w:rPr>
        <w:t xml:space="preserve">he </w:t>
      </w:r>
      <w:r w:rsidR="000F12CD">
        <w:rPr>
          <w:bCs/>
          <w:lang w:eastAsia="en-AU" w:bidi="ar-SA"/>
        </w:rPr>
        <w:t>tutin gly</w:t>
      </w:r>
      <w:r w:rsidR="005E5548" w:rsidRPr="005E5548">
        <w:rPr>
          <w:bCs/>
          <w:lang w:eastAsia="en-AU" w:bidi="ar-SA"/>
        </w:rPr>
        <w:t>coside concentrations reported should not b</w:t>
      </w:r>
      <w:r w:rsidR="005E5548">
        <w:rPr>
          <w:bCs/>
          <w:lang w:eastAsia="en-AU" w:bidi="ar-SA"/>
        </w:rPr>
        <w:t xml:space="preserve">e regarded as true quantitative </w:t>
      </w:r>
      <w:r w:rsidR="00DC2C3C">
        <w:rPr>
          <w:bCs/>
          <w:lang w:eastAsia="en-AU" w:bidi="ar-SA"/>
        </w:rPr>
        <w:t>figures, however they do allow for comparisons of relative ratios of tutin to tutin glycosides</w:t>
      </w:r>
      <w:r w:rsidR="00816AE7">
        <w:rPr>
          <w:bCs/>
          <w:lang w:eastAsia="en-AU" w:bidi="ar-SA"/>
        </w:rPr>
        <w:t xml:space="preserve"> across</w:t>
      </w:r>
      <w:r w:rsidR="00017970">
        <w:rPr>
          <w:bCs/>
          <w:lang w:eastAsia="en-AU" w:bidi="ar-SA"/>
        </w:rPr>
        <w:t xml:space="preserve"> different honey samples.</w:t>
      </w:r>
    </w:p>
    <w:p w:rsidR="00A355A0" w:rsidRDefault="00A355A0">
      <w:pPr>
        <w:rPr>
          <w:bCs/>
          <w:lang w:eastAsia="en-AU" w:bidi="ar-SA"/>
        </w:rPr>
      </w:pPr>
    </w:p>
    <w:p w:rsidR="00B84B44" w:rsidRDefault="00FE2483" w:rsidP="00286983">
      <w:pPr>
        <w:rPr>
          <w:bCs/>
          <w:lang w:eastAsia="en-AU" w:bidi="ar-SA"/>
        </w:rPr>
      </w:pPr>
      <w:r>
        <w:rPr>
          <w:bCs/>
          <w:lang w:eastAsia="en-AU" w:bidi="ar-SA"/>
        </w:rPr>
        <w:t xml:space="preserve">Results are shown as the mean of duplicate measurements (Table </w:t>
      </w:r>
      <w:r w:rsidR="00F64DE4">
        <w:rPr>
          <w:bCs/>
          <w:lang w:eastAsia="en-AU" w:bidi="ar-SA"/>
        </w:rPr>
        <w:t>A4</w:t>
      </w:r>
      <w:r w:rsidR="00433949">
        <w:rPr>
          <w:bCs/>
          <w:lang w:eastAsia="en-AU" w:bidi="ar-SA"/>
        </w:rPr>
        <w:t>.</w:t>
      </w:r>
      <w:r>
        <w:rPr>
          <w:bCs/>
          <w:lang w:eastAsia="en-AU" w:bidi="ar-SA"/>
        </w:rPr>
        <w:t>1).</w:t>
      </w:r>
      <w:r w:rsidR="00A355A0">
        <w:rPr>
          <w:bCs/>
          <w:lang w:eastAsia="en-AU" w:bidi="ar-SA"/>
        </w:rPr>
        <w:t xml:space="preserve"> </w:t>
      </w:r>
      <w:r w:rsidR="00AA180E">
        <w:rPr>
          <w:bCs/>
          <w:lang w:eastAsia="en-AU" w:bidi="ar-SA"/>
        </w:rPr>
        <w:t>Ratios of analy</w:t>
      </w:r>
      <w:r w:rsidR="00F24300">
        <w:rPr>
          <w:bCs/>
          <w:lang w:eastAsia="en-AU" w:bidi="ar-SA"/>
        </w:rPr>
        <w:t>te concentrations or peak areas</w:t>
      </w:r>
      <w:r w:rsidR="00AA180E">
        <w:rPr>
          <w:bCs/>
          <w:lang w:eastAsia="en-AU" w:bidi="ar-SA"/>
        </w:rPr>
        <w:t xml:space="preserve"> are shown in Table </w:t>
      </w:r>
      <w:r w:rsidR="00F64DE4">
        <w:rPr>
          <w:bCs/>
          <w:lang w:eastAsia="en-AU" w:bidi="ar-SA"/>
        </w:rPr>
        <w:t>A4.</w:t>
      </w:r>
      <w:r w:rsidR="00AA180E">
        <w:rPr>
          <w:bCs/>
          <w:lang w:eastAsia="en-AU" w:bidi="ar-SA"/>
        </w:rPr>
        <w:t xml:space="preserve">2. </w:t>
      </w:r>
      <w:r w:rsidR="00A355A0">
        <w:rPr>
          <w:bCs/>
          <w:lang w:eastAsia="en-AU" w:bidi="ar-SA"/>
        </w:rPr>
        <w:t xml:space="preserve">In three honey samples (T1, T2, T3), tutin, hyenanchin and </w:t>
      </w:r>
      <w:r w:rsidR="000F12CD">
        <w:rPr>
          <w:bCs/>
          <w:lang w:eastAsia="en-AU" w:bidi="ar-SA"/>
        </w:rPr>
        <w:t>tutin gly</w:t>
      </w:r>
      <w:r w:rsidR="00A355A0">
        <w:rPr>
          <w:bCs/>
          <w:lang w:eastAsia="en-AU" w:bidi="ar-SA"/>
        </w:rPr>
        <w:t>cosides were not detected (limits of detection not stated).</w:t>
      </w:r>
      <w:r w:rsidR="00397731">
        <w:rPr>
          <w:bCs/>
          <w:lang w:eastAsia="en-AU" w:bidi="ar-SA"/>
        </w:rPr>
        <w:t xml:space="preserve"> In the remaining 12</w:t>
      </w:r>
      <w:r w:rsidR="00A355A0">
        <w:rPr>
          <w:bCs/>
          <w:lang w:eastAsia="en-AU" w:bidi="ar-SA"/>
        </w:rPr>
        <w:t xml:space="preserve"> honey samples, tutin concentration</w:t>
      </w:r>
      <w:r w:rsidR="001A38E3">
        <w:rPr>
          <w:bCs/>
          <w:lang w:eastAsia="en-AU" w:bidi="ar-SA"/>
        </w:rPr>
        <w:t>s</w:t>
      </w:r>
      <w:r w:rsidR="00A355A0">
        <w:rPr>
          <w:bCs/>
          <w:lang w:eastAsia="en-AU" w:bidi="ar-SA"/>
        </w:rPr>
        <w:t xml:space="preserve"> ranged from 0.14 to 51 mg/kg</w:t>
      </w:r>
      <w:r w:rsidR="00F41874">
        <w:rPr>
          <w:bCs/>
          <w:lang w:eastAsia="en-AU" w:bidi="ar-SA"/>
        </w:rPr>
        <w:t xml:space="preserve"> (mean 5.3 mg/kg)</w:t>
      </w:r>
      <w:r w:rsidR="00A355A0">
        <w:rPr>
          <w:bCs/>
          <w:lang w:eastAsia="en-AU" w:bidi="ar-SA"/>
        </w:rPr>
        <w:t>, hyenanchin concentration</w:t>
      </w:r>
      <w:r w:rsidR="001A38E3">
        <w:rPr>
          <w:bCs/>
          <w:lang w:eastAsia="en-AU" w:bidi="ar-SA"/>
        </w:rPr>
        <w:t>s</w:t>
      </w:r>
      <w:r w:rsidR="00A355A0">
        <w:rPr>
          <w:bCs/>
          <w:lang w:eastAsia="en-AU" w:bidi="ar-SA"/>
        </w:rPr>
        <w:t xml:space="preserve"> ranged from 1.0 to 386 mg/kg</w:t>
      </w:r>
      <w:r w:rsidR="00F41874">
        <w:rPr>
          <w:bCs/>
          <w:lang w:eastAsia="en-AU" w:bidi="ar-SA"/>
        </w:rPr>
        <w:t xml:space="preserve"> (mean 37 mg/kg)</w:t>
      </w:r>
      <w:r w:rsidR="00A355A0">
        <w:rPr>
          <w:bCs/>
          <w:lang w:eastAsia="en-AU" w:bidi="ar-SA"/>
        </w:rPr>
        <w:t>, and the hyenanchin:tutin concentration ratio ranged from 3.4 to 12.7 (mean 6.7).</w:t>
      </w:r>
      <w:r w:rsidR="0022644F">
        <w:rPr>
          <w:bCs/>
          <w:lang w:eastAsia="en-AU" w:bidi="ar-SA"/>
        </w:rPr>
        <w:t xml:space="preserve"> </w:t>
      </w:r>
      <w:r w:rsidR="001A38E3">
        <w:rPr>
          <w:bCs/>
          <w:lang w:eastAsia="en-AU" w:bidi="ar-SA"/>
        </w:rPr>
        <w:t>The r</w:t>
      </w:r>
      <w:r w:rsidR="0022644F">
        <w:rPr>
          <w:bCs/>
          <w:lang w:eastAsia="en-AU" w:bidi="ar-SA"/>
        </w:rPr>
        <w:t>atio of total glycosides:tutin ranged from 2.6 to 12.7 (mean 7.0)</w:t>
      </w:r>
      <w:r w:rsidR="00FD38BD">
        <w:rPr>
          <w:bCs/>
          <w:lang w:eastAsia="en-AU" w:bidi="ar-SA"/>
        </w:rPr>
        <w:t>.</w:t>
      </w:r>
      <w:r w:rsidR="00935868">
        <w:rPr>
          <w:bCs/>
          <w:lang w:eastAsia="en-AU" w:bidi="ar-SA"/>
        </w:rPr>
        <w:t xml:space="preserve"> </w:t>
      </w:r>
      <w:r w:rsidR="00CA2F93">
        <w:rPr>
          <w:bCs/>
          <w:lang w:eastAsia="en-AU" w:bidi="ar-SA"/>
        </w:rPr>
        <w:t>The 6 possible pairwise comparisons between the 4 major tutin glycosides indicates predominantly small variations across honey samples.</w:t>
      </w:r>
      <w:r w:rsidR="00286983" w:rsidRPr="00286983">
        <w:t xml:space="preserve"> </w:t>
      </w:r>
      <w:r w:rsidR="00286983">
        <w:t xml:space="preserve">The relative standard deviations </w:t>
      </w:r>
      <w:r w:rsidR="0075044B">
        <w:t xml:space="preserve">(RSD) </w:t>
      </w:r>
      <w:r w:rsidR="00286983">
        <w:t>for 3 of the pair</w:t>
      </w:r>
      <w:r w:rsidR="0075044B">
        <w:t>wise ratios were</w:t>
      </w:r>
      <w:r w:rsidR="00286983">
        <w:t xml:space="preserve"> less than 30%. However the ratio </w:t>
      </w:r>
      <w:r w:rsidR="00286983" w:rsidRPr="00286983">
        <w:rPr>
          <w:bCs/>
          <w:lang w:eastAsia="en-AU" w:bidi="ar-SA"/>
        </w:rPr>
        <w:t>gly-A:digly-D</w:t>
      </w:r>
      <w:r w:rsidR="00286983">
        <w:rPr>
          <w:bCs/>
          <w:lang w:eastAsia="en-AU" w:bidi="ar-SA"/>
        </w:rPr>
        <w:t xml:space="preserve"> varied across a large range (0.07 to 1.09) </w:t>
      </w:r>
      <w:r w:rsidR="0075044B">
        <w:rPr>
          <w:bCs/>
          <w:lang w:eastAsia="en-AU" w:bidi="ar-SA"/>
        </w:rPr>
        <w:t>with an RSD of 69%.</w:t>
      </w:r>
    </w:p>
    <w:p w:rsidR="00B84B44" w:rsidRDefault="00B84B44">
      <w:pPr>
        <w:rPr>
          <w:bCs/>
          <w:lang w:eastAsia="en-AU" w:bidi="ar-SA"/>
        </w:rPr>
      </w:pPr>
    </w:p>
    <w:p w:rsidR="00B84B44" w:rsidRDefault="00B84B44" w:rsidP="00B84B44">
      <w:pPr>
        <w:tabs>
          <w:tab w:val="left" w:pos="3600"/>
        </w:tabs>
        <w:rPr>
          <w:lang w:eastAsia="en-AU" w:bidi="ar-SA"/>
        </w:rPr>
        <w:sectPr w:rsidR="00B84B44" w:rsidSect="00680F3A">
          <w:pgSz w:w="11906" w:h="16838"/>
          <w:pgMar w:top="1418" w:right="1418" w:bottom="1418" w:left="1418" w:header="709" w:footer="709" w:gutter="0"/>
          <w:cols w:space="708"/>
          <w:docGrid w:linePitch="360"/>
        </w:sectPr>
      </w:pPr>
    </w:p>
    <w:p w:rsidR="00B84B44" w:rsidRPr="00C46C9B" w:rsidRDefault="00B92687" w:rsidP="00C46C9B">
      <w:pPr>
        <w:tabs>
          <w:tab w:val="left" w:pos="3600"/>
        </w:tabs>
        <w:rPr>
          <w:b/>
          <w:szCs w:val="22"/>
          <w:lang w:eastAsia="en-AU" w:bidi="ar-SA"/>
        </w:rPr>
      </w:pPr>
      <w:r w:rsidRPr="00C46C9B">
        <w:rPr>
          <w:b/>
          <w:szCs w:val="22"/>
          <w:lang w:eastAsia="en-AU" w:bidi="ar-SA"/>
        </w:rPr>
        <w:lastRenderedPageBreak/>
        <w:t>Table</w:t>
      </w:r>
      <w:r w:rsidR="00FE2483">
        <w:rPr>
          <w:b/>
          <w:szCs w:val="22"/>
          <w:lang w:eastAsia="en-AU" w:bidi="ar-SA"/>
        </w:rPr>
        <w:t xml:space="preserve"> </w:t>
      </w:r>
      <w:r w:rsidR="00F64DE4">
        <w:rPr>
          <w:b/>
          <w:szCs w:val="22"/>
          <w:lang w:eastAsia="en-AU" w:bidi="ar-SA"/>
        </w:rPr>
        <w:t>A4</w:t>
      </w:r>
      <w:r w:rsidR="00B739BC">
        <w:rPr>
          <w:b/>
          <w:szCs w:val="22"/>
          <w:lang w:eastAsia="en-AU" w:bidi="ar-SA"/>
        </w:rPr>
        <w:t>.</w:t>
      </w:r>
      <w:r w:rsidR="00FE2483">
        <w:rPr>
          <w:b/>
          <w:szCs w:val="22"/>
          <w:lang w:eastAsia="en-AU" w:bidi="ar-SA"/>
        </w:rPr>
        <w:t>1</w:t>
      </w:r>
      <w:r w:rsidR="003871C6">
        <w:rPr>
          <w:b/>
          <w:szCs w:val="22"/>
          <w:lang w:eastAsia="en-AU" w:bidi="ar-SA"/>
        </w:rPr>
        <w:t>: Concentrations of tutin and hyenanchin, and “tutin equivalent” concentration</w:t>
      </w:r>
      <w:r w:rsidR="00405A25">
        <w:rPr>
          <w:b/>
          <w:szCs w:val="22"/>
          <w:lang w:eastAsia="en-AU" w:bidi="ar-SA"/>
        </w:rPr>
        <w:t xml:space="preserve">s of four </w:t>
      </w:r>
      <w:r w:rsidR="000F12CD">
        <w:rPr>
          <w:b/>
          <w:szCs w:val="22"/>
          <w:lang w:eastAsia="en-AU" w:bidi="ar-SA"/>
        </w:rPr>
        <w:t>tutin gly</w:t>
      </w:r>
      <w:r w:rsidR="00405A25">
        <w:rPr>
          <w:b/>
          <w:szCs w:val="22"/>
          <w:lang w:eastAsia="en-AU" w:bidi="ar-SA"/>
        </w:rPr>
        <w:t xml:space="preserve">cosides in 15 </w:t>
      </w:r>
      <w:r w:rsidR="003871C6">
        <w:rPr>
          <w:b/>
          <w:szCs w:val="22"/>
          <w:lang w:eastAsia="en-AU" w:bidi="ar-SA"/>
        </w:rPr>
        <w:t>honey samples</w:t>
      </w:r>
    </w:p>
    <w:p w:rsidR="001E7DF3" w:rsidRPr="00C46C9B" w:rsidRDefault="001E7DF3" w:rsidP="00C46C9B">
      <w:pPr>
        <w:tabs>
          <w:tab w:val="left" w:pos="3600"/>
        </w:tabs>
        <w:rPr>
          <w:b/>
          <w:sz w:val="8"/>
          <w:szCs w:val="8"/>
          <w:lang w:eastAsia="en-AU" w:bidi="ar-SA"/>
        </w:rPr>
      </w:pPr>
    </w:p>
    <w:tbl>
      <w:tblPr>
        <w:tblStyle w:val="TableGrid"/>
        <w:tblW w:w="13126" w:type="dxa"/>
        <w:tblLayout w:type="fixed"/>
        <w:tblLook w:val="04A0" w:firstRow="1" w:lastRow="0" w:firstColumn="1" w:lastColumn="0" w:noHBand="0" w:noVBand="1"/>
      </w:tblPr>
      <w:tblGrid>
        <w:gridCol w:w="1361"/>
        <w:gridCol w:w="1134"/>
        <w:gridCol w:w="1559"/>
        <w:gridCol w:w="851"/>
        <w:gridCol w:w="1275"/>
        <w:gridCol w:w="1276"/>
        <w:gridCol w:w="1276"/>
        <w:gridCol w:w="1276"/>
        <w:gridCol w:w="1559"/>
        <w:gridCol w:w="1559"/>
      </w:tblGrid>
      <w:tr w:rsidR="00C94D63" w:rsidTr="00C46C9B">
        <w:trPr>
          <w:cantSplit/>
          <w:tblHeader/>
        </w:trPr>
        <w:tc>
          <w:tcPr>
            <w:tcW w:w="1361" w:type="dxa"/>
            <w:vAlign w:val="center"/>
          </w:tcPr>
          <w:p w:rsidR="00C94D63" w:rsidRPr="00C46C9B" w:rsidRDefault="00C94D63" w:rsidP="00C46C9B">
            <w:pPr>
              <w:tabs>
                <w:tab w:val="left" w:pos="3600"/>
              </w:tabs>
              <w:spacing w:before="40" w:after="40"/>
              <w:jc w:val="center"/>
              <w:rPr>
                <w:sz w:val="20"/>
                <w:szCs w:val="20"/>
                <w:lang w:eastAsia="en-AU" w:bidi="ar-SA"/>
              </w:rPr>
            </w:pPr>
          </w:p>
        </w:tc>
        <w:tc>
          <w:tcPr>
            <w:tcW w:w="2693" w:type="dxa"/>
            <w:gridSpan w:val="2"/>
            <w:vAlign w:val="center"/>
          </w:tcPr>
          <w:p w:rsidR="00C94D63" w:rsidRPr="00C46C9B" w:rsidRDefault="00C94D63" w:rsidP="00C46C9B">
            <w:pPr>
              <w:tabs>
                <w:tab w:val="left" w:pos="3600"/>
              </w:tabs>
              <w:spacing w:before="40" w:after="40"/>
              <w:jc w:val="center"/>
              <w:rPr>
                <w:b/>
                <w:sz w:val="20"/>
                <w:szCs w:val="20"/>
                <w:lang w:eastAsia="en-AU" w:bidi="ar-SA"/>
              </w:rPr>
            </w:pPr>
            <w:r w:rsidRPr="00C46C9B">
              <w:rPr>
                <w:b/>
                <w:sz w:val="20"/>
                <w:szCs w:val="20"/>
                <w:lang w:eastAsia="en-AU" w:bidi="ar-SA"/>
              </w:rPr>
              <w:t>Concentration</w:t>
            </w:r>
          </w:p>
          <w:p w:rsidR="00C94D63" w:rsidRPr="00C46C9B" w:rsidRDefault="00C94D63" w:rsidP="00C46C9B">
            <w:pPr>
              <w:tabs>
                <w:tab w:val="left" w:pos="3600"/>
              </w:tabs>
              <w:spacing w:before="40" w:after="40"/>
              <w:jc w:val="center"/>
              <w:rPr>
                <w:b/>
                <w:sz w:val="20"/>
                <w:szCs w:val="20"/>
                <w:lang w:eastAsia="en-AU" w:bidi="ar-SA"/>
              </w:rPr>
            </w:pPr>
            <w:r w:rsidRPr="00C46C9B">
              <w:rPr>
                <w:b/>
                <w:sz w:val="20"/>
                <w:szCs w:val="20"/>
                <w:lang w:eastAsia="en-AU" w:bidi="ar-SA"/>
              </w:rPr>
              <w:t>(mg/kg honey)</w:t>
            </w:r>
          </w:p>
        </w:tc>
        <w:tc>
          <w:tcPr>
            <w:tcW w:w="851" w:type="dxa"/>
            <w:vAlign w:val="center"/>
          </w:tcPr>
          <w:p w:rsidR="00C94D63" w:rsidRPr="00C46C9B" w:rsidRDefault="00C94D63" w:rsidP="00C46C9B">
            <w:pPr>
              <w:tabs>
                <w:tab w:val="left" w:pos="3600"/>
              </w:tabs>
              <w:spacing w:before="40" w:after="40"/>
              <w:jc w:val="center"/>
              <w:rPr>
                <w:b/>
                <w:sz w:val="20"/>
                <w:szCs w:val="20"/>
                <w:lang w:eastAsia="en-AU" w:bidi="ar-SA"/>
              </w:rPr>
            </w:pPr>
            <w:r w:rsidRPr="00C46C9B">
              <w:rPr>
                <w:b/>
                <w:sz w:val="20"/>
                <w:szCs w:val="20"/>
                <w:lang w:eastAsia="en-AU" w:bidi="ar-SA"/>
              </w:rPr>
              <w:t>Ratio</w:t>
            </w:r>
          </w:p>
        </w:tc>
        <w:tc>
          <w:tcPr>
            <w:tcW w:w="5103" w:type="dxa"/>
            <w:gridSpan w:val="4"/>
            <w:vAlign w:val="center"/>
          </w:tcPr>
          <w:p w:rsidR="00C94D63" w:rsidRPr="00C46C9B" w:rsidRDefault="00C94D63" w:rsidP="00C46C9B">
            <w:pPr>
              <w:tabs>
                <w:tab w:val="left" w:pos="3600"/>
              </w:tabs>
              <w:spacing w:before="40" w:after="40"/>
              <w:jc w:val="center"/>
              <w:rPr>
                <w:b/>
                <w:sz w:val="20"/>
                <w:szCs w:val="20"/>
                <w:lang w:eastAsia="en-AU" w:bidi="ar-SA"/>
              </w:rPr>
            </w:pPr>
            <w:r w:rsidRPr="00C46C9B">
              <w:rPr>
                <w:b/>
                <w:sz w:val="20"/>
                <w:szCs w:val="20"/>
                <w:lang w:eastAsia="en-AU" w:bidi="ar-SA"/>
              </w:rPr>
              <w:t>“Tutin equivalent” concentration</w:t>
            </w:r>
          </w:p>
          <w:p w:rsidR="00C94D63" w:rsidRPr="00C46C9B" w:rsidRDefault="00C94D63" w:rsidP="00C46C9B">
            <w:pPr>
              <w:tabs>
                <w:tab w:val="left" w:pos="3600"/>
              </w:tabs>
              <w:spacing w:before="40" w:after="40"/>
              <w:jc w:val="center"/>
              <w:rPr>
                <w:b/>
                <w:sz w:val="20"/>
                <w:szCs w:val="20"/>
                <w:lang w:eastAsia="en-AU" w:bidi="ar-SA"/>
              </w:rPr>
            </w:pPr>
            <w:r w:rsidRPr="00C46C9B">
              <w:rPr>
                <w:b/>
                <w:sz w:val="20"/>
                <w:szCs w:val="20"/>
                <w:lang w:eastAsia="en-AU" w:bidi="ar-SA"/>
              </w:rPr>
              <w:t>(mg/kg honey)</w:t>
            </w:r>
          </w:p>
        </w:tc>
        <w:tc>
          <w:tcPr>
            <w:tcW w:w="1559" w:type="dxa"/>
            <w:vAlign w:val="center"/>
          </w:tcPr>
          <w:p w:rsidR="00C94D63" w:rsidRPr="00C46C9B" w:rsidRDefault="0022644F" w:rsidP="00C46C9B">
            <w:pPr>
              <w:tabs>
                <w:tab w:val="left" w:pos="3600"/>
              </w:tabs>
              <w:spacing w:before="40" w:after="40"/>
              <w:jc w:val="center"/>
              <w:rPr>
                <w:b/>
                <w:sz w:val="20"/>
                <w:szCs w:val="20"/>
                <w:lang w:eastAsia="en-AU" w:bidi="ar-SA"/>
              </w:rPr>
            </w:pPr>
            <w:r>
              <w:rPr>
                <w:b/>
                <w:sz w:val="20"/>
                <w:szCs w:val="20"/>
                <w:lang w:eastAsia="en-AU" w:bidi="ar-SA"/>
              </w:rPr>
              <w:t>Total glycosides</w:t>
            </w:r>
            <w:r w:rsidR="00C94D63" w:rsidRPr="00C46C9B">
              <w:rPr>
                <w:b/>
                <w:sz w:val="20"/>
                <w:szCs w:val="20"/>
                <w:lang w:eastAsia="en-AU" w:bidi="ar-SA"/>
              </w:rPr>
              <w:t xml:space="preserve"> </w:t>
            </w:r>
          </w:p>
        </w:tc>
        <w:tc>
          <w:tcPr>
            <w:tcW w:w="1559" w:type="dxa"/>
            <w:vAlign w:val="center"/>
          </w:tcPr>
          <w:p w:rsidR="00C94D63" w:rsidRPr="00C46C9B" w:rsidRDefault="00C94D63" w:rsidP="00C46C9B">
            <w:pPr>
              <w:tabs>
                <w:tab w:val="left" w:pos="3600"/>
              </w:tabs>
              <w:spacing w:before="40" w:after="40"/>
              <w:jc w:val="center"/>
              <w:rPr>
                <w:b/>
                <w:sz w:val="20"/>
                <w:szCs w:val="20"/>
                <w:lang w:eastAsia="en-AU" w:bidi="ar-SA"/>
              </w:rPr>
            </w:pPr>
            <w:r w:rsidRPr="00C46C9B">
              <w:rPr>
                <w:b/>
                <w:sz w:val="20"/>
                <w:szCs w:val="20"/>
                <w:lang w:eastAsia="en-AU" w:bidi="ar-SA"/>
              </w:rPr>
              <w:t xml:space="preserve">Ratio </w:t>
            </w:r>
          </w:p>
        </w:tc>
      </w:tr>
      <w:tr w:rsidR="00C94D63" w:rsidTr="00C46C9B">
        <w:trPr>
          <w:cantSplit/>
          <w:tblHeader/>
        </w:trPr>
        <w:tc>
          <w:tcPr>
            <w:tcW w:w="1361" w:type="dxa"/>
            <w:tcBorders>
              <w:bottom w:val="single" w:sz="4" w:space="0" w:color="auto"/>
            </w:tcBorders>
            <w:vAlign w:val="center"/>
          </w:tcPr>
          <w:p w:rsidR="00C94D63" w:rsidRPr="00C46C9B" w:rsidRDefault="00C94D63" w:rsidP="00C46C9B">
            <w:pPr>
              <w:tabs>
                <w:tab w:val="left" w:pos="3600"/>
              </w:tabs>
              <w:spacing w:before="40" w:after="40"/>
              <w:rPr>
                <w:b/>
                <w:sz w:val="20"/>
                <w:szCs w:val="20"/>
                <w:lang w:eastAsia="en-AU" w:bidi="ar-SA"/>
              </w:rPr>
            </w:pPr>
            <w:r w:rsidRPr="00C46C9B">
              <w:rPr>
                <w:b/>
                <w:sz w:val="20"/>
                <w:szCs w:val="20"/>
                <w:lang w:eastAsia="en-AU" w:bidi="ar-SA"/>
              </w:rPr>
              <w:t>Honey sample</w:t>
            </w:r>
          </w:p>
        </w:tc>
        <w:tc>
          <w:tcPr>
            <w:tcW w:w="1134" w:type="dxa"/>
            <w:tcBorders>
              <w:bottom w:val="single" w:sz="4" w:space="0" w:color="auto"/>
            </w:tcBorders>
            <w:vAlign w:val="center"/>
          </w:tcPr>
          <w:p w:rsidR="00C94D63" w:rsidRPr="00C46C9B" w:rsidRDefault="00C94D63" w:rsidP="00C46C9B">
            <w:pPr>
              <w:tabs>
                <w:tab w:val="left" w:pos="3600"/>
              </w:tabs>
              <w:spacing w:before="40" w:after="40"/>
              <w:jc w:val="center"/>
              <w:rPr>
                <w:rFonts w:cs="Arial"/>
                <w:b/>
                <w:sz w:val="20"/>
                <w:szCs w:val="20"/>
                <w:lang w:eastAsia="en-AU" w:bidi="ar-SA"/>
              </w:rPr>
            </w:pPr>
            <w:r w:rsidRPr="00C46C9B">
              <w:rPr>
                <w:b/>
                <w:sz w:val="20"/>
                <w:szCs w:val="20"/>
                <w:lang w:eastAsia="en-AU" w:bidi="ar-SA"/>
              </w:rPr>
              <w:t>Tutin</w:t>
            </w:r>
          </w:p>
        </w:tc>
        <w:tc>
          <w:tcPr>
            <w:tcW w:w="1559" w:type="dxa"/>
            <w:tcBorders>
              <w:bottom w:val="single" w:sz="4" w:space="0" w:color="auto"/>
            </w:tcBorders>
            <w:vAlign w:val="center"/>
          </w:tcPr>
          <w:p w:rsidR="00C94D63" w:rsidRPr="00C46C9B" w:rsidRDefault="00C94D63" w:rsidP="00C46C9B">
            <w:pPr>
              <w:tabs>
                <w:tab w:val="left" w:pos="3600"/>
              </w:tabs>
              <w:spacing w:before="40" w:after="40"/>
              <w:jc w:val="center"/>
              <w:rPr>
                <w:rFonts w:cs="Arial"/>
                <w:b/>
                <w:sz w:val="20"/>
                <w:szCs w:val="20"/>
                <w:lang w:eastAsia="en-AU" w:bidi="ar-SA"/>
              </w:rPr>
            </w:pPr>
            <w:r w:rsidRPr="00C46C9B">
              <w:rPr>
                <w:b/>
                <w:sz w:val="20"/>
                <w:szCs w:val="20"/>
                <w:lang w:eastAsia="en-AU" w:bidi="ar-SA"/>
              </w:rPr>
              <w:t>Hyenanchin</w:t>
            </w:r>
          </w:p>
        </w:tc>
        <w:tc>
          <w:tcPr>
            <w:tcW w:w="851" w:type="dxa"/>
            <w:tcBorders>
              <w:bottom w:val="single" w:sz="4" w:space="0" w:color="auto"/>
            </w:tcBorders>
            <w:vAlign w:val="center"/>
          </w:tcPr>
          <w:p w:rsidR="00C94D63" w:rsidRPr="00C46C9B" w:rsidRDefault="00C94D63" w:rsidP="00C46C9B">
            <w:pPr>
              <w:tabs>
                <w:tab w:val="left" w:pos="3600"/>
              </w:tabs>
              <w:spacing w:before="40" w:after="40"/>
              <w:jc w:val="center"/>
              <w:rPr>
                <w:b/>
                <w:sz w:val="20"/>
                <w:szCs w:val="20"/>
                <w:lang w:eastAsia="en-AU" w:bidi="ar-SA"/>
              </w:rPr>
            </w:pPr>
            <w:r w:rsidRPr="00C46C9B">
              <w:rPr>
                <w:b/>
                <w:sz w:val="20"/>
                <w:szCs w:val="20"/>
                <w:lang w:eastAsia="en-AU" w:bidi="ar-SA"/>
              </w:rPr>
              <w:t>H:T</w:t>
            </w:r>
          </w:p>
        </w:tc>
        <w:tc>
          <w:tcPr>
            <w:tcW w:w="1275" w:type="dxa"/>
            <w:tcBorders>
              <w:bottom w:val="single" w:sz="4" w:space="0" w:color="auto"/>
            </w:tcBorders>
            <w:vAlign w:val="center"/>
          </w:tcPr>
          <w:p w:rsidR="00C94D63" w:rsidRPr="00C46C9B" w:rsidRDefault="003871C6" w:rsidP="00C46C9B">
            <w:pPr>
              <w:tabs>
                <w:tab w:val="left" w:pos="3600"/>
              </w:tabs>
              <w:spacing w:before="40" w:after="40"/>
              <w:jc w:val="center"/>
              <w:rPr>
                <w:rFonts w:cs="Arial"/>
                <w:b/>
                <w:sz w:val="20"/>
                <w:szCs w:val="20"/>
                <w:lang w:eastAsia="en-AU" w:bidi="ar-SA"/>
              </w:rPr>
            </w:pPr>
            <w:r>
              <w:rPr>
                <w:b/>
                <w:sz w:val="20"/>
                <w:szCs w:val="20"/>
                <w:lang w:eastAsia="en-AU" w:bidi="ar-SA"/>
              </w:rPr>
              <w:t>gly</w:t>
            </w:r>
            <w:r w:rsidR="00C94D63" w:rsidRPr="00C46C9B">
              <w:rPr>
                <w:b/>
                <w:sz w:val="20"/>
                <w:szCs w:val="20"/>
                <w:lang w:eastAsia="en-AU" w:bidi="ar-SA"/>
              </w:rPr>
              <w:t>-A</w:t>
            </w:r>
          </w:p>
        </w:tc>
        <w:tc>
          <w:tcPr>
            <w:tcW w:w="1276" w:type="dxa"/>
            <w:tcBorders>
              <w:bottom w:val="single" w:sz="4" w:space="0" w:color="auto"/>
            </w:tcBorders>
            <w:vAlign w:val="center"/>
          </w:tcPr>
          <w:p w:rsidR="00C94D63" w:rsidRPr="00C46C9B" w:rsidRDefault="003871C6" w:rsidP="00C46C9B">
            <w:pPr>
              <w:tabs>
                <w:tab w:val="left" w:pos="3600"/>
              </w:tabs>
              <w:spacing w:before="40" w:after="40"/>
              <w:jc w:val="center"/>
              <w:rPr>
                <w:rFonts w:cs="Arial"/>
                <w:b/>
                <w:sz w:val="20"/>
                <w:szCs w:val="20"/>
                <w:lang w:eastAsia="en-AU" w:bidi="ar-SA"/>
              </w:rPr>
            </w:pPr>
            <w:r>
              <w:rPr>
                <w:b/>
                <w:sz w:val="20"/>
                <w:szCs w:val="20"/>
                <w:lang w:eastAsia="en-AU" w:bidi="ar-SA"/>
              </w:rPr>
              <w:t>d</w:t>
            </w:r>
            <w:r w:rsidR="00C94D63" w:rsidRPr="00C46C9B">
              <w:rPr>
                <w:b/>
                <w:sz w:val="20"/>
                <w:szCs w:val="20"/>
                <w:lang w:eastAsia="en-AU" w:bidi="ar-SA"/>
              </w:rPr>
              <w:t>i</w:t>
            </w:r>
            <w:r>
              <w:rPr>
                <w:b/>
                <w:sz w:val="20"/>
                <w:szCs w:val="20"/>
                <w:lang w:eastAsia="en-AU" w:bidi="ar-SA"/>
              </w:rPr>
              <w:t>gly</w:t>
            </w:r>
            <w:r w:rsidR="00C94D63" w:rsidRPr="00C46C9B">
              <w:rPr>
                <w:b/>
                <w:sz w:val="20"/>
                <w:szCs w:val="20"/>
                <w:lang w:eastAsia="en-AU" w:bidi="ar-SA"/>
              </w:rPr>
              <w:t>-C</w:t>
            </w:r>
          </w:p>
        </w:tc>
        <w:tc>
          <w:tcPr>
            <w:tcW w:w="1276" w:type="dxa"/>
            <w:tcBorders>
              <w:bottom w:val="single" w:sz="4" w:space="0" w:color="auto"/>
            </w:tcBorders>
            <w:vAlign w:val="center"/>
          </w:tcPr>
          <w:p w:rsidR="00C94D63" w:rsidRPr="00C46C9B" w:rsidRDefault="003871C6" w:rsidP="00C46C9B">
            <w:pPr>
              <w:tabs>
                <w:tab w:val="left" w:pos="3600"/>
              </w:tabs>
              <w:spacing w:before="40" w:after="40"/>
              <w:jc w:val="center"/>
              <w:rPr>
                <w:rFonts w:cs="Arial"/>
                <w:b/>
                <w:sz w:val="20"/>
                <w:szCs w:val="20"/>
                <w:lang w:eastAsia="en-AU" w:bidi="ar-SA"/>
              </w:rPr>
            </w:pPr>
            <w:r>
              <w:rPr>
                <w:b/>
                <w:sz w:val="20"/>
                <w:szCs w:val="20"/>
                <w:lang w:eastAsia="en-AU" w:bidi="ar-SA"/>
              </w:rPr>
              <w:t>d</w:t>
            </w:r>
            <w:r w:rsidR="00C94D63" w:rsidRPr="00C46C9B">
              <w:rPr>
                <w:b/>
                <w:sz w:val="20"/>
                <w:szCs w:val="20"/>
                <w:lang w:eastAsia="en-AU" w:bidi="ar-SA"/>
              </w:rPr>
              <w:t>i</w:t>
            </w:r>
            <w:r>
              <w:rPr>
                <w:b/>
                <w:sz w:val="20"/>
                <w:szCs w:val="20"/>
                <w:lang w:eastAsia="en-AU" w:bidi="ar-SA"/>
              </w:rPr>
              <w:t>gly</w:t>
            </w:r>
            <w:r w:rsidR="00C94D63" w:rsidRPr="00C46C9B">
              <w:rPr>
                <w:b/>
                <w:sz w:val="20"/>
                <w:szCs w:val="20"/>
                <w:lang w:eastAsia="en-AU" w:bidi="ar-SA"/>
              </w:rPr>
              <w:t>-D</w:t>
            </w:r>
          </w:p>
        </w:tc>
        <w:tc>
          <w:tcPr>
            <w:tcW w:w="1276" w:type="dxa"/>
            <w:tcBorders>
              <w:bottom w:val="single" w:sz="4" w:space="0" w:color="auto"/>
            </w:tcBorders>
            <w:vAlign w:val="center"/>
          </w:tcPr>
          <w:p w:rsidR="00C94D63" w:rsidRPr="00C46C9B" w:rsidRDefault="003871C6" w:rsidP="00C46C9B">
            <w:pPr>
              <w:tabs>
                <w:tab w:val="left" w:pos="3600"/>
              </w:tabs>
              <w:spacing w:before="40" w:after="40"/>
              <w:jc w:val="center"/>
              <w:rPr>
                <w:b/>
                <w:sz w:val="20"/>
                <w:szCs w:val="20"/>
                <w:lang w:eastAsia="en-AU" w:bidi="ar-SA"/>
              </w:rPr>
            </w:pPr>
            <w:r>
              <w:rPr>
                <w:b/>
                <w:sz w:val="20"/>
                <w:szCs w:val="20"/>
                <w:lang w:eastAsia="en-AU" w:bidi="ar-SA"/>
              </w:rPr>
              <w:t>t</w:t>
            </w:r>
            <w:r w:rsidR="00C94D63" w:rsidRPr="00C46C9B">
              <w:rPr>
                <w:b/>
                <w:sz w:val="20"/>
                <w:szCs w:val="20"/>
                <w:lang w:eastAsia="en-AU" w:bidi="ar-SA"/>
              </w:rPr>
              <w:t>ri</w:t>
            </w:r>
            <w:r>
              <w:rPr>
                <w:b/>
                <w:sz w:val="20"/>
                <w:szCs w:val="20"/>
                <w:lang w:eastAsia="en-AU" w:bidi="ar-SA"/>
              </w:rPr>
              <w:t>gly</w:t>
            </w:r>
            <w:r w:rsidR="00C94D63" w:rsidRPr="00C46C9B">
              <w:rPr>
                <w:b/>
                <w:sz w:val="20"/>
                <w:szCs w:val="20"/>
                <w:lang w:eastAsia="en-AU" w:bidi="ar-SA"/>
              </w:rPr>
              <w:t>-H</w:t>
            </w:r>
          </w:p>
        </w:tc>
        <w:tc>
          <w:tcPr>
            <w:tcW w:w="1559" w:type="dxa"/>
            <w:tcBorders>
              <w:bottom w:val="single" w:sz="4" w:space="0" w:color="auto"/>
            </w:tcBorders>
            <w:vAlign w:val="center"/>
          </w:tcPr>
          <w:p w:rsidR="00C94D63" w:rsidRPr="00C46C9B" w:rsidRDefault="00897EA0" w:rsidP="00C46C9B">
            <w:pPr>
              <w:tabs>
                <w:tab w:val="left" w:pos="3600"/>
              </w:tabs>
              <w:spacing w:before="40" w:after="40"/>
              <w:jc w:val="center"/>
              <w:rPr>
                <w:b/>
                <w:sz w:val="20"/>
                <w:szCs w:val="20"/>
                <w:lang w:eastAsia="en-AU" w:bidi="ar-SA"/>
              </w:rPr>
            </w:pPr>
            <w:r w:rsidRPr="00857D91">
              <w:rPr>
                <w:b/>
                <w:sz w:val="20"/>
                <w:szCs w:val="20"/>
                <w:lang w:eastAsia="en-AU" w:bidi="ar-SA"/>
              </w:rPr>
              <w:t>(mg/kg honey)</w:t>
            </w:r>
          </w:p>
        </w:tc>
        <w:tc>
          <w:tcPr>
            <w:tcW w:w="1559" w:type="dxa"/>
            <w:tcBorders>
              <w:bottom w:val="single" w:sz="4" w:space="0" w:color="auto"/>
            </w:tcBorders>
            <w:vAlign w:val="center"/>
          </w:tcPr>
          <w:p w:rsidR="00897EA0" w:rsidRPr="00B46577" w:rsidRDefault="00122BD5" w:rsidP="00897EA0">
            <w:pPr>
              <w:tabs>
                <w:tab w:val="left" w:pos="3600"/>
              </w:tabs>
              <w:spacing w:before="40" w:after="40"/>
              <w:jc w:val="center"/>
              <w:rPr>
                <w:b/>
                <w:sz w:val="20"/>
                <w:szCs w:val="20"/>
                <w:lang w:eastAsia="en-AU" w:bidi="ar-SA"/>
              </w:rPr>
            </w:pPr>
            <w:r>
              <w:rPr>
                <w:b/>
                <w:sz w:val="20"/>
                <w:szCs w:val="20"/>
                <w:lang w:eastAsia="en-AU" w:bidi="ar-SA"/>
              </w:rPr>
              <w:t>T</w:t>
            </w:r>
            <w:r w:rsidR="0022644F">
              <w:rPr>
                <w:b/>
                <w:sz w:val="20"/>
                <w:szCs w:val="20"/>
                <w:lang w:eastAsia="en-AU" w:bidi="ar-SA"/>
              </w:rPr>
              <w:t>otal glycosides</w:t>
            </w:r>
            <w:r w:rsidR="00897EA0" w:rsidRPr="00B46577">
              <w:rPr>
                <w:b/>
                <w:sz w:val="20"/>
                <w:szCs w:val="20"/>
                <w:lang w:eastAsia="en-AU" w:bidi="ar-SA"/>
              </w:rPr>
              <w:t>:</w:t>
            </w:r>
          </w:p>
          <w:p w:rsidR="00C94D63" w:rsidRPr="00C46C9B" w:rsidRDefault="00122BD5" w:rsidP="00C46C9B">
            <w:pPr>
              <w:tabs>
                <w:tab w:val="left" w:pos="3600"/>
              </w:tabs>
              <w:spacing w:before="40" w:after="40"/>
              <w:jc w:val="center"/>
              <w:rPr>
                <w:b/>
                <w:sz w:val="20"/>
                <w:szCs w:val="20"/>
                <w:lang w:eastAsia="en-AU" w:bidi="ar-SA"/>
              </w:rPr>
            </w:pPr>
            <w:r>
              <w:rPr>
                <w:b/>
                <w:sz w:val="20"/>
                <w:szCs w:val="20"/>
                <w:lang w:eastAsia="en-AU" w:bidi="ar-SA"/>
              </w:rPr>
              <w:t>T</w:t>
            </w:r>
            <w:r w:rsidR="00897EA0" w:rsidRPr="00B46577">
              <w:rPr>
                <w:b/>
                <w:sz w:val="20"/>
                <w:szCs w:val="20"/>
                <w:lang w:eastAsia="en-AU" w:bidi="ar-SA"/>
              </w:rPr>
              <w:t>utin)</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M1 (1 of 4)</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0.18</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1.89</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10.5</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0.23</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0.87</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0.53</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0.08</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1.71</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9.5</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M1 (2 of 4)</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0.18</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1.76</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10.0</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0.19</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0.87</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0.59</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0.09</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1.74</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10.0</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M1 (3 of 4)</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0.18</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2.28</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12.7</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0.24</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0.94</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0.62</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0.10</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1.89</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10.5</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M1 (4 of 4)</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0.16</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1.64</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10.3</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0.22</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0.93</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0.61</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0.10</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1.84</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11.5</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M2</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0.14</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1.01</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7.5</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0.14</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0.65</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0.41</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0.06</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1.26</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9.3</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P1</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0.53</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2.34</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4.5</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0.22</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1.07</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0.97</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0.08</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2.34</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4.4</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pPr>
              <w:tabs>
                <w:tab w:val="left" w:pos="3600"/>
              </w:tabs>
              <w:spacing w:before="40" w:after="40"/>
              <w:rPr>
                <w:rFonts w:cs="Arial"/>
                <w:sz w:val="20"/>
                <w:szCs w:val="20"/>
                <w:lang w:eastAsia="en-AU" w:bidi="ar-SA"/>
              </w:rPr>
            </w:pPr>
            <w:r w:rsidRPr="00C46C9B">
              <w:rPr>
                <w:rFonts w:cs="Arial"/>
                <w:sz w:val="20"/>
                <w:szCs w:val="20"/>
                <w:lang w:eastAsia="en-AU" w:bidi="ar-SA"/>
              </w:rPr>
              <w:t>P2</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0.71</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4.73</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6.7</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0.32</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1.71</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1.54</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0.18</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3.74</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5.3</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P3</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0.63</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2.13</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3.4</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0.18</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0.81</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0.88</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0.07</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1.93</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3.1</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P4</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0.55</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2.19</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4.0</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0.15</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0.56</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0.65</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0.06</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1.40</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2.6</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P5</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0.57</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2.05</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3.6</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0.16</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0.74</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0.88</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0.09</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1.85</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3.3</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F1</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4.85</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18.59</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3.8</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2.71</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11.22</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8.30</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1.21</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23.43</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4.8</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46C9B">
            <w:pPr>
              <w:tabs>
                <w:tab w:val="left" w:pos="3600"/>
              </w:tabs>
              <w:spacing w:before="40" w:after="40"/>
              <w:rPr>
                <w:rFonts w:cs="Arial"/>
                <w:sz w:val="20"/>
                <w:szCs w:val="20"/>
                <w:lang w:eastAsia="en-AU" w:bidi="ar-SA"/>
              </w:rPr>
            </w:pPr>
            <w:r w:rsidRPr="00C46C9B">
              <w:rPr>
                <w:rFonts w:cs="Arial"/>
                <w:sz w:val="20"/>
                <w:szCs w:val="20"/>
                <w:lang w:eastAsia="en-AU" w:bidi="ar-SA"/>
              </w:rPr>
              <w:t>F2</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0.65</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2.37</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3.6</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0.50</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1.79</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1.16</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0.22</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3.67</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5.7</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547E1">
            <w:pPr>
              <w:tabs>
                <w:tab w:val="left" w:pos="3600"/>
              </w:tabs>
              <w:spacing w:before="40" w:after="40"/>
              <w:rPr>
                <w:rFonts w:cs="Arial"/>
                <w:sz w:val="20"/>
                <w:szCs w:val="20"/>
                <w:lang w:eastAsia="en-AU" w:bidi="ar-SA"/>
              </w:rPr>
            </w:pPr>
            <w:r w:rsidRPr="00C46C9B">
              <w:rPr>
                <w:rFonts w:cs="Arial"/>
                <w:sz w:val="20"/>
                <w:szCs w:val="20"/>
                <w:lang w:eastAsia="en-AU" w:bidi="ar-SA"/>
              </w:rPr>
              <w:t>T1</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ND</w:t>
            </w:r>
          </w:p>
        </w:tc>
        <w:tc>
          <w:tcPr>
            <w:tcW w:w="1559"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851"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c>
          <w:tcPr>
            <w:tcW w:w="1275"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559"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c>
          <w:tcPr>
            <w:tcW w:w="1559" w:type="dxa"/>
            <w:tcBorders>
              <w:top w:val="single" w:sz="4" w:space="0" w:color="auto"/>
              <w:left w:val="nil"/>
              <w:bottom w:val="nil"/>
              <w:right w:val="single" w:sz="4" w:space="0" w:color="auto"/>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547E1">
            <w:pPr>
              <w:tabs>
                <w:tab w:val="left" w:pos="3600"/>
              </w:tabs>
              <w:spacing w:before="40" w:after="40"/>
              <w:rPr>
                <w:rFonts w:cs="Arial"/>
                <w:sz w:val="20"/>
                <w:szCs w:val="20"/>
                <w:lang w:eastAsia="en-AU" w:bidi="ar-SA"/>
              </w:rPr>
            </w:pPr>
            <w:r w:rsidRPr="00C46C9B">
              <w:rPr>
                <w:rFonts w:cs="Arial"/>
                <w:sz w:val="20"/>
                <w:szCs w:val="20"/>
                <w:lang w:eastAsia="en-AU" w:bidi="ar-SA"/>
              </w:rPr>
              <w:t>T2</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ND</w:t>
            </w:r>
          </w:p>
        </w:tc>
        <w:tc>
          <w:tcPr>
            <w:tcW w:w="1559"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851"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c>
          <w:tcPr>
            <w:tcW w:w="1275"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559"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c>
          <w:tcPr>
            <w:tcW w:w="1559" w:type="dxa"/>
            <w:tcBorders>
              <w:top w:val="single" w:sz="4" w:space="0" w:color="auto"/>
              <w:left w:val="nil"/>
              <w:bottom w:val="nil"/>
              <w:right w:val="single" w:sz="4" w:space="0" w:color="auto"/>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547E1">
            <w:pPr>
              <w:tabs>
                <w:tab w:val="left" w:pos="3600"/>
              </w:tabs>
              <w:spacing w:before="40" w:after="40"/>
              <w:rPr>
                <w:rFonts w:cs="Arial"/>
                <w:sz w:val="20"/>
                <w:szCs w:val="20"/>
                <w:lang w:eastAsia="en-AU" w:bidi="ar-SA"/>
              </w:rPr>
            </w:pPr>
            <w:r w:rsidRPr="00C46C9B">
              <w:rPr>
                <w:rFonts w:cs="Arial"/>
                <w:sz w:val="20"/>
                <w:szCs w:val="20"/>
                <w:lang w:eastAsia="en-AU" w:bidi="ar-SA"/>
              </w:rPr>
              <w:t>T3</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ND</w:t>
            </w:r>
          </w:p>
        </w:tc>
        <w:tc>
          <w:tcPr>
            <w:tcW w:w="1559"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851"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c>
          <w:tcPr>
            <w:tcW w:w="1275"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276"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ND</w:t>
            </w:r>
          </w:p>
        </w:tc>
        <w:tc>
          <w:tcPr>
            <w:tcW w:w="1559" w:type="dxa"/>
            <w:tcBorders>
              <w:top w:val="single" w:sz="4" w:space="0" w:color="auto"/>
              <w:left w:val="nil"/>
              <w:bottom w:val="nil"/>
              <w:right w:val="nil"/>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c>
          <w:tcPr>
            <w:tcW w:w="1559" w:type="dxa"/>
            <w:tcBorders>
              <w:top w:val="single" w:sz="4" w:space="0" w:color="auto"/>
              <w:left w:val="nil"/>
              <w:bottom w:val="nil"/>
              <w:right w:val="single" w:sz="4" w:space="0" w:color="auto"/>
            </w:tcBorders>
          </w:tcPr>
          <w:p w:rsidR="00C94D63" w:rsidRPr="00C46C9B" w:rsidRDefault="00C94D63" w:rsidP="00C46C9B">
            <w:pPr>
              <w:tabs>
                <w:tab w:val="left" w:pos="3600"/>
              </w:tabs>
              <w:spacing w:before="40" w:after="40"/>
              <w:jc w:val="center"/>
              <w:rPr>
                <w:rFonts w:cs="Arial"/>
                <w:sz w:val="20"/>
                <w:szCs w:val="20"/>
                <w:lang w:eastAsia="en-AU" w:bidi="ar-SA"/>
              </w:rPr>
            </w:pPr>
            <w:r w:rsidRPr="00C46C9B">
              <w:rPr>
                <w:rFonts w:cs="Arial"/>
                <w:sz w:val="20"/>
                <w:szCs w:val="20"/>
                <w:lang w:eastAsia="en-AU" w:bidi="ar-SA"/>
              </w:rPr>
              <w:t>NA</w:t>
            </w:r>
          </w:p>
        </w:tc>
      </w:tr>
      <w:tr w:rsidR="00C94D63" w:rsidTr="00C46C9B">
        <w:trPr>
          <w:cantSplit/>
        </w:trPr>
        <w:tc>
          <w:tcPr>
            <w:tcW w:w="1361" w:type="dxa"/>
            <w:tcBorders>
              <w:top w:val="single" w:sz="4" w:space="0" w:color="auto"/>
              <w:left w:val="single" w:sz="4" w:space="0" w:color="auto"/>
              <w:bottom w:val="nil"/>
              <w:right w:val="nil"/>
            </w:tcBorders>
          </w:tcPr>
          <w:p w:rsidR="00C94D63" w:rsidRPr="00C46C9B" w:rsidRDefault="00C94D63" w:rsidP="00C547E1">
            <w:pPr>
              <w:tabs>
                <w:tab w:val="left" w:pos="3600"/>
              </w:tabs>
              <w:spacing w:before="40" w:after="40"/>
              <w:rPr>
                <w:rFonts w:cs="Arial"/>
                <w:sz w:val="20"/>
                <w:szCs w:val="20"/>
                <w:lang w:eastAsia="en-AU" w:bidi="ar-SA"/>
              </w:rPr>
            </w:pPr>
            <w:r w:rsidRPr="00C46C9B">
              <w:rPr>
                <w:rFonts w:cs="Arial"/>
                <w:sz w:val="20"/>
                <w:szCs w:val="20"/>
                <w:lang w:eastAsia="en-AU" w:bidi="ar-SA"/>
              </w:rPr>
              <w:t>Honey 1</w:t>
            </w:r>
            <w:r w:rsidR="005D2A7E">
              <w:rPr>
                <w:rFonts w:cs="Arial"/>
                <w:sz w:val="20"/>
                <w:szCs w:val="20"/>
                <w:lang w:eastAsia="en-AU" w:bidi="ar-SA"/>
              </w:rPr>
              <w:t xml:space="preserve"> </w:t>
            </w:r>
          </w:p>
        </w:tc>
        <w:tc>
          <w:tcPr>
            <w:tcW w:w="1134"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15.30</w:t>
            </w:r>
          </w:p>
        </w:tc>
        <w:tc>
          <w:tcPr>
            <w:tcW w:w="1559"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97.79</w:t>
            </w:r>
          </w:p>
        </w:tc>
        <w:tc>
          <w:tcPr>
            <w:tcW w:w="851" w:type="dxa"/>
            <w:tcBorders>
              <w:top w:val="single" w:sz="4" w:space="0" w:color="auto"/>
              <w:left w:val="nil"/>
              <w:bottom w:val="nil"/>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6.4</w:t>
            </w:r>
          </w:p>
        </w:tc>
        <w:tc>
          <w:tcPr>
            <w:tcW w:w="1275" w:type="dxa"/>
            <w:tcBorders>
              <w:top w:val="single" w:sz="4" w:space="0" w:color="auto"/>
              <w:left w:val="nil"/>
              <w:bottom w:val="nil"/>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5.68</w:t>
            </w:r>
          </w:p>
        </w:tc>
        <w:tc>
          <w:tcPr>
            <w:tcW w:w="1276" w:type="dxa"/>
            <w:tcBorders>
              <w:top w:val="single" w:sz="4" w:space="0" w:color="auto"/>
              <w:left w:val="nil"/>
              <w:bottom w:val="nil"/>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48.58</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23.02</w:t>
            </w:r>
          </w:p>
        </w:tc>
        <w:tc>
          <w:tcPr>
            <w:tcW w:w="1276"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5.09</w:t>
            </w:r>
          </w:p>
        </w:tc>
        <w:tc>
          <w:tcPr>
            <w:tcW w:w="1559" w:type="dxa"/>
            <w:tcBorders>
              <w:top w:val="single" w:sz="4" w:space="0" w:color="auto"/>
              <w:left w:val="nil"/>
              <w:bottom w:val="nil"/>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82.37</w:t>
            </w:r>
          </w:p>
        </w:tc>
        <w:tc>
          <w:tcPr>
            <w:tcW w:w="1559" w:type="dxa"/>
            <w:tcBorders>
              <w:top w:val="single" w:sz="4" w:space="0" w:color="auto"/>
              <w:left w:val="nil"/>
              <w:bottom w:val="nil"/>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5.4</w:t>
            </w:r>
          </w:p>
        </w:tc>
      </w:tr>
      <w:tr w:rsidR="00C94D63" w:rsidTr="00C46C9B">
        <w:trPr>
          <w:cantSplit/>
        </w:trPr>
        <w:tc>
          <w:tcPr>
            <w:tcW w:w="1361" w:type="dxa"/>
            <w:tcBorders>
              <w:top w:val="single" w:sz="4" w:space="0" w:color="auto"/>
              <w:left w:val="single" w:sz="4" w:space="0" w:color="auto"/>
              <w:bottom w:val="single" w:sz="4" w:space="0" w:color="auto"/>
              <w:right w:val="nil"/>
            </w:tcBorders>
          </w:tcPr>
          <w:p w:rsidR="00C94D63" w:rsidRPr="00C46C9B" w:rsidRDefault="00C94D63" w:rsidP="00C547E1">
            <w:pPr>
              <w:tabs>
                <w:tab w:val="left" w:pos="3600"/>
              </w:tabs>
              <w:spacing w:before="40" w:after="40"/>
              <w:rPr>
                <w:rFonts w:cs="Arial"/>
                <w:sz w:val="20"/>
                <w:szCs w:val="20"/>
                <w:lang w:eastAsia="en-AU" w:bidi="ar-SA"/>
              </w:rPr>
            </w:pPr>
            <w:r w:rsidRPr="00C46C9B">
              <w:rPr>
                <w:rFonts w:cs="Arial"/>
                <w:sz w:val="20"/>
                <w:szCs w:val="20"/>
                <w:lang w:eastAsia="en-AU" w:bidi="ar-SA"/>
              </w:rPr>
              <w:t>Honey 2</w:t>
            </w:r>
            <w:r w:rsidR="003352BF">
              <w:rPr>
                <w:rFonts w:cs="Arial"/>
                <w:sz w:val="20"/>
                <w:szCs w:val="20"/>
                <w:lang w:eastAsia="en-AU" w:bidi="ar-SA"/>
              </w:rPr>
              <w:t xml:space="preserve"> </w:t>
            </w:r>
            <w:r w:rsidR="003352BF" w:rsidRPr="00C46C9B">
              <w:rPr>
                <w:rFonts w:cs="Arial"/>
                <w:sz w:val="20"/>
                <w:szCs w:val="20"/>
                <w:vertAlign w:val="superscript"/>
                <w:lang w:eastAsia="en-AU" w:bidi="ar-SA"/>
              </w:rPr>
              <w:t>^</w:t>
            </w:r>
          </w:p>
        </w:tc>
        <w:tc>
          <w:tcPr>
            <w:tcW w:w="1134" w:type="dxa"/>
            <w:tcBorders>
              <w:top w:val="single" w:sz="4" w:space="0" w:color="auto"/>
              <w:left w:val="nil"/>
              <w:bottom w:val="single" w:sz="4" w:space="0" w:color="auto"/>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4.41</w:t>
            </w:r>
          </w:p>
        </w:tc>
        <w:tc>
          <w:tcPr>
            <w:tcW w:w="1559" w:type="dxa"/>
            <w:tcBorders>
              <w:top w:val="single" w:sz="4" w:space="0" w:color="auto"/>
              <w:left w:val="nil"/>
              <w:bottom w:val="single" w:sz="4" w:space="0" w:color="auto"/>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25.81</w:t>
            </w:r>
          </w:p>
        </w:tc>
        <w:tc>
          <w:tcPr>
            <w:tcW w:w="851" w:type="dxa"/>
            <w:tcBorders>
              <w:top w:val="single" w:sz="4" w:space="0" w:color="auto"/>
              <w:left w:val="nil"/>
              <w:bottom w:val="single" w:sz="4" w:space="0" w:color="auto"/>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5.8</w:t>
            </w:r>
          </w:p>
        </w:tc>
        <w:tc>
          <w:tcPr>
            <w:tcW w:w="1275" w:type="dxa"/>
            <w:tcBorders>
              <w:top w:val="single" w:sz="4" w:space="0" w:color="auto"/>
              <w:left w:val="nil"/>
              <w:bottom w:val="single" w:sz="4" w:space="0" w:color="auto"/>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6.16</w:t>
            </w:r>
          </w:p>
        </w:tc>
        <w:tc>
          <w:tcPr>
            <w:tcW w:w="1276" w:type="dxa"/>
            <w:tcBorders>
              <w:top w:val="single" w:sz="4" w:space="0" w:color="auto"/>
              <w:left w:val="nil"/>
              <w:bottom w:val="single" w:sz="4" w:space="0" w:color="auto"/>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18.14</w:t>
            </w:r>
          </w:p>
        </w:tc>
        <w:tc>
          <w:tcPr>
            <w:tcW w:w="1276" w:type="dxa"/>
            <w:tcBorders>
              <w:top w:val="single" w:sz="4" w:space="0" w:color="auto"/>
              <w:left w:val="nil"/>
              <w:bottom w:val="single" w:sz="4" w:space="0" w:color="auto"/>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5.63</w:t>
            </w:r>
          </w:p>
        </w:tc>
        <w:tc>
          <w:tcPr>
            <w:tcW w:w="1276" w:type="dxa"/>
            <w:tcBorders>
              <w:top w:val="single" w:sz="4" w:space="0" w:color="auto"/>
              <w:left w:val="nil"/>
              <w:bottom w:val="single" w:sz="4" w:space="0" w:color="auto"/>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3.19</w:t>
            </w:r>
          </w:p>
        </w:tc>
        <w:tc>
          <w:tcPr>
            <w:tcW w:w="1559" w:type="dxa"/>
            <w:tcBorders>
              <w:top w:val="single" w:sz="4" w:space="0" w:color="auto"/>
              <w:left w:val="nil"/>
              <w:bottom w:val="single" w:sz="4" w:space="0" w:color="auto"/>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33.11</w:t>
            </w:r>
          </w:p>
        </w:tc>
        <w:tc>
          <w:tcPr>
            <w:tcW w:w="1559" w:type="dxa"/>
            <w:tcBorders>
              <w:top w:val="single" w:sz="4" w:space="0" w:color="auto"/>
              <w:left w:val="nil"/>
              <w:bottom w:val="single" w:sz="4" w:space="0" w:color="auto"/>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7.5</w:t>
            </w:r>
          </w:p>
        </w:tc>
      </w:tr>
      <w:tr w:rsidR="00C94D63" w:rsidTr="00C46C9B">
        <w:trPr>
          <w:cantSplit/>
        </w:trPr>
        <w:tc>
          <w:tcPr>
            <w:tcW w:w="1361" w:type="dxa"/>
            <w:tcBorders>
              <w:top w:val="single" w:sz="4" w:space="0" w:color="auto"/>
              <w:left w:val="single" w:sz="4" w:space="0" w:color="auto"/>
              <w:bottom w:val="single" w:sz="4" w:space="0" w:color="auto"/>
              <w:right w:val="nil"/>
            </w:tcBorders>
          </w:tcPr>
          <w:p w:rsidR="00C94D63" w:rsidRPr="00C46C9B" w:rsidRDefault="00C94D63" w:rsidP="00C547E1">
            <w:pPr>
              <w:tabs>
                <w:tab w:val="left" w:pos="3600"/>
              </w:tabs>
              <w:spacing w:before="40" w:after="40"/>
              <w:rPr>
                <w:rFonts w:cs="Arial"/>
                <w:sz w:val="20"/>
                <w:szCs w:val="20"/>
                <w:lang w:eastAsia="en-AU" w:bidi="ar-SA"/>
              </w:rPr>
            </w:pPr>
            <w:r w:rsidRPr="00C46C9B">
              <w:rPr>
                <w:rFonts w:cs="Arial"/>
                <w:sz w:val="20"/>
                <w:szCs w:val="20"/>
                <w:lang w:eastAsia="en-AU" w:bidi="ar-SA"/>
              </w:rPr>
              <w:t>Honey 3</w:t>
            </w:r>
            <w:r w:rsidR="005D2A7E">
              <w:rPr>
                <w:rFonts w:cs="Arial"/>
                <w:sz w:val="20"/>
                <w:szCs w:val="20"/>
                <w:lang w:eastAsia="en-AU" w:bidi="ar-SA"/>
              </w:rPr>
              <w:t xml:space="preserve"> </w:t>
            </w:r>
            <w:r w:rsidR="005D2A7E" w:rsidRPr="00C46C9B">
              <w:rPr>
                <w:rFonts w:cs="Arial"/>
                <w:sz w:val="20"/>
                <w:szCs w:val="20"/>
                <w:vertAlign w:val="superscript"/>
                <w:lang w:eastAsia="en-AU" w:bidi="ar-SA"/>
              </w:rPr>
              <w:t>†</w:t>
            </w:r>
          </w:p>
        </w:tc>
        <w:tc>
          <w:tcPr>
            <w:tcW w:w="1134" w:type="dxa"/>
            <w:tcBorders>
              <w:top w:val="single" w:sz="4" w:space="0" w:color="auto"/>
              <w:left w:val="nil"/>
              <w:bottom w:val="single" w:sz="4" w:space="0" w:color="auto"/>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50.79</w:t>
            </w:r>
          </w:p>
        </w:tc>
        <w:tc>
          <w:tcPr>
            <w:tcW w:w="1559" w:type="dxa"/>
            <w:tcBorders>
              <w:top w:val="single" w:sz="4" w:space="0" w:color="auto"/>
              <w:left w:val="nil"/>
              <w:bottom w:val="single" w:sz="4" w:space="0" w:color="auto"/>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385.59</w:t>
            </w:r>
          </w:p>
        </w:tc>
        <w:tc>
          <w:tcPr>
            <w:tcW w:w="851" w:type="dxa"/>
            <w:tcBorders>
              <w:top w:val="single" w:sz="4" w:space="0" w:color="auto"/>
              <w:left w:val="nil"/>
              <w:bottom w:val="single" w:sz="4" w:space="0" w:color="auto"/>
              <w:right w:val="nil"/>
            </w:tcBorders>
          </w:tcPr>
          <w:p w:rsidR="00C94D63" w:rsidRPr="00C46C9B" w:rsidRDefault="00B141E7" w:rsidP="00C46C9B">
            <w:pPr>
              <w:tabs>
                <w:tab w:val="left" w:pos="3600"/>
              </w:tabs>
              <w:spacing w:before="40" w:after="40"/>
              <w:jc w:val="center"/>
              <w:rPr>
                <w:rFonts w:cs="Arial"/>
                <w:sz w:val="20"/>
                <w:szCs w:val="20"/>
                <w:lang w:eastAsia="en-AU" w:bidi="ar-SA"/>
              </w:rPr>
            </w:pPr>
            <w:r>
              <w:rPr>
                <w:rFonts w:cs="Arial"/>
                <w:sz w:val="20"/>
                <w:szCs w:val="20"/>
                <w:lang w:eastAsia="en-AU" w:bidi="ar-SA"/>
              </w:rPr>
              <w:t>7.6</w:t>
            </w:r>
          </w:p>
        </w:tc>
        <w:tc>
          <w:tcPr>
            <w:tcW w:w="1275" w:type="dxa"/>
            <w:tcBorders>
              <w:top w:val="single" w:sz="4" w:space="0" w:color="auto"/>
              <w:left w:val="nil"/>
              <w:bottom w:val="single" w:sz="4" w:space="0" w:color="auto"/>
              <w:right w:val="nil"/>
            </w:tcBorders>
          </w:tcPr>
          <w:p w:rsidR="00C94D63" w:rsidRPr="00C46C9B" w:rsidRDefault="000D6C56" w:rsidP="00C46C9B">
            <w:pPr>
              <w:tabs>
                <w:tab w:val="left" w:pos="3600"/>
              </w:tabs>
              <w:spacing w:before="40" w:after="40"/>
              <w:jc w:val="center"/>
              <w:rPr>
                <w:rFonts w:cs="Arial"/>
                <w:sz w:val="20"/>
                <w:szCs w:val="20"/>
                <w:lang w:eastAsia="en-AU" w:bidi="ar-SA"/>
              </w:rPr>
            </w:pPr>
            <w:r>
              <w:rPr>
                <w:rFonts w:cs="Arial"/>
                <w:sz w:val="20"/>
                <w:szCs w:val="20"/>
                <w:lang w:eastAsia="en-AU" w:bidi="ar-SA"/>
              </w:rPr>
              <w:t>26.22</w:t>
            </w:r>
          </w:p>
        </w:tc>
        <w:tc>
          <w:tcPr>
            <w:tcW w:w="1276" w:type="dxa"/>
            <w:tcBorders>
              <w:top w:val="single" w:sz="4" w:space="0" w:color="auto"/>
              <w:left w:val="nil"/>
              <w:bottom w:val="single" w:sz="4" w:space="0" w:color="auto"/>
              <w:right w:val="nil"/>
            </w:tcBorders>
          </w:tcPr>
          <w:p w:rsidR="00C94D63" w:rsidRPr="00C46C9B" w:rsidRDefault="004478D7" w:rsidP="00C46C9B">
            <w:pPr>
              <w:tabs>
                <w:tab w:val="left" w:pos="3600"/>
              </w:tabs>
              <w:spacing w:before="40" w:after="40"/>
              <w:jc w:val="center"/>
              <w:rPr>
                <w:rFonts w:cs="Arial"/>
                <w:sz w:val="20"/>
                <w:szCs w:val="20"/>
                <w:lang w:eastAsia="en-AU" w:bidi="ar-SA"/>
              </w:rPr>
            </w:pPr>
            <w:r>
              <w:rPr>
                <w:rFonts w:cs="Arial"/>
                <w:sz w:val="20"/>
                <w:szCs w:val="20"/>
                <w:lang w:eastAsia="en-AU" w:bidi="ar-SA"/>
              </w:rPr>
              <w:t>218.62</w:t>
            </w:r>
          </w:p>
        </w:tc>
        <w:tc>
          <w:tcPr>
            <w:tcW w:w="1276" w:type="dxa"/>
            <w:tcBorders>
              <w:top w:val="single" w:sz="4" w:space="0" w:color="auto"/>
              <w:left w:val="nil"/>
              <w:bottom w:val="single" w:sz="4" w:space="0" w:color="auto"/>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357.71</w:t>
            </w:r>
          </w:p>
        </w:tc>
        <w:tc>
          <w:tcPr>
            <w:tcW w:w="1276" w:type="dxa"/>
            <w:tcBorders>
              <w:top w:val="single" w:sz="4" w:space="0" w:color="auto"/>
              <w:left w:val="nil"/>
              <w:bottom w:val="single" w:sz="4" w:space="0" w:color="auto"/>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42.74</w:t>
            </w:r>
          </w:p>
        </w:tc>
        <w:tc>
          <w:tcPr>
            <w:tcW w:w="1559" w:type="dxa"/>
            <w:tcBorders>
              <w:top w:val="single" w:sz="4" w:space="0" w:color="auto"/>
              <w:left w:val="nil"/>
              <w:bottom w:val="single" w:sz="4" w:space="0" w:color="auto"/>
              <w:right w:val="nil"/>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645.29</w:t>
            </w:r>
          </w:p>
        </w:tc>
        <w:tc>
          <w:tcPr>
            <w:tcW w:w="1559" w:type="dxa"/>
            <w:tcBorders>
              <w:top w:val="single" w:sz="4" w:space="0" w:color="auto"/>
              <w:left w:val="nil"/>
              <w:bottom w:val="single" w:sz="4" w:space="0" w:color="auto"/>
              <w:right w:val="single" w:sz="4" w:space="0" w:color="auto"/>
            </w:tcBorders>
          </w:tcPr>
          <w:p w:rsidR="00C94D63" w:rsidRPr="00C46C9B" w:rsidRDefault="00C94E3D" w:rsidP="00C46C9B">
            <w:pPr>
              <w:tabs>
                <w:tab w:val="left" w:pos="3600"/>
              </w:tabs>
              <w:spacing w:before="40" w:after="40"/>
              <w:jc w:val="center"/>
              <w:rPr>
                <w:rFonts w:cs="Arial"/>
                <w:sz w:val="20"/>
                <w:szCs w:val="20"/>
                <w:lang w:eastAsia="en-AU" w:bidi="ar-SA"/>
              </w:rPr>
            </w:pPr>
            <w:r>
              <w:rPr>
                <w:rFonts w:cs="Arial"/>
                <w:sz w:val="20"/>
                <w:szCs w:val="20"/>
                <w:lang w:eastAsia="en-AU" w:bidi="ar-SA"/>
              </w:rPr>
              <w:t>12.7</w:t>
            </w:r>
          </w:p>
        </w:tc>
      </w:tr>
    </w:tbl>
    <w:p w:rsidR="00583114" w:rsidRPr="00C46C9B" w:rsidRDefault="00583114" w:rsidP="00C46C9B">
      <w:pPr>
        <w:tabs>
          <w:tab w:val="left" w:pos="3600"/>
        </w:tabs>
        <w:rPr>
          <w:sz w:val="20"/>
          <w:szCs w:val="20"/>
          <w:lang w:eastAsia="en-AU" w:bidi="ar-SA"/>
        </w:rPr>
      </w:pPr>
    </w:p>
    <w:p w:rsidR="003352BF" w:rsidRPr="00C46C9B" w:rsidRDefault="003352BF" w:rsidP="00C46C9B">
      <w:pPr>
        <w:tabs>
          <w:tab w:val="left" w:pos="3600"/>
        </w:tabs>
        <w:rPr>
          <w:sz w:val="20"/>
          <w:szCs w:val="20"/>
          <w:lang w:eastAsia="en-AU"/>
        </w:rPr>
      </w:pPr>
      <w:r w:rsidRPr="00C46C9B">
        <w:rPr>
          <w:sz w:val="20"/>
          <w:szCs w:val="20"/>
          <w:vertAlign w:val="superscript"/>
          <w:lang w:eastAsia="en-AU"/>
        </w:rPr>
        <w:t>^</w:t>
      </w:r>
      <w:r w:rsidRPr="00C46C9B">
        <w:rPr>
          <w:sz w:val="20"/>
          <w:szCs w:val="20"/>
          <w:lang w:eastAsia="en-AU"/>
        </w:rPr>
        <w:t xml:space="preserve"> Honey 2 was administered in the human pharmacokinetic study.</w:t>
      </w:r>
      <w:r w:rsidR="005D2A7E" w:rsidRPr="00C46C9B">
        <w:rPr>
          <w:sz w:val="20"/>
          <w:szCs w:val="20"/>
          <w:lang w:eastAsia="en-AU"/>
        </w:rPr>
        <w:t xml:space="preserve"> † Honey 3 was associated with human poisoning in 2008.</w:t>
      </w:r>
    </w:p>
    <w:p w:rsidR="00B92687" w:rsidRDefault="00B92687" w:rsidP="00C46C9B">
      <w:pPr>
        <w:tabs>
          <w:tab w:val="left" w:pos="3600"/>
        </w:tabs>
        <w:rPr>
          <w:lang w:eastAsia="en-AU" w:bidi="ar-SA"/>
        </w:rPr>
      </w:pPr>
    </w:p>
    <w:p w:rsidR="0097394F" w:rsidRDefault="0097394F">
      <w:pPr>
        <w:widowControl/>
        <w:rPr>
          <w:lang w:eastAsia="en-AU" w:bidi="ar-SA"/>
        </w:rPr>
      </w:pPr>
      <w:r>
        <w:rPr>
          <w:lang w:eastAsia="en-AU" w:bidi="ar-SA"/>
        </w:rPr>
        <w:br w:type="page"/>
      </w:r>
    </w:p>
    <w:p w:rsidR="00B92687" w:rsidRPr="00C46C9B" w:rsidRDefault="0097394F" w:rsidP="00C46C9B">
      <w:pPr>
        <w:tabs>
          <w:tab w:val="left" w:pos="3600"/>
        </w:tabs>
        <w:rPr>
          <w:b/>
          <w:lang w:eastAsia="en-AU" w:bidi="ar-SA"/>
        </w:rPr>
      </w:pPr>
      <w:r w:rsidRPr="00C46C9B">
        <w:rPr>
          <w:b/>
          <w:lang w:eastAsia="en-AU" w:bidi="ar-SA"/>
        </w:rPr>
        <w:lastRenderedPageBreak/>
        <w:t xml:space="preserve">Table </w:t>
      </w:r>
      <w:r w:rsidR="00B739BC">
        <w:rPr>
          <w:b/>
          <w:lang w:eastAsia="en-AU" w:bidi="ar-SA"/>
        </w:rPr>
        <w:t>A</w:t>
      </w:r>
      <w:r w:rsidR="00F64DE4">
        <w:rPr>
          <w:b/>
          <w:lang w:eastAsia="en-AU" w:bidi="ar-SA"/>
        </w:rPr>
        <w:t>4</w:t>
      </w:r>
      <w:r w:rsidR="00B739BC">
        <w:rPr>
          <w:b/>
          <w:lang w:eastAsia="en-AU" w:bidi="ar-SA"/>
        </w:rPr>
        <w:t>.</w:t>
      </w:r>
      <w:r w:rsidRPr="00C46C9B">
        <w:rPr>
          <w:b/>
          <w:lang w:eastAsia="en-AU" w:bidi="ar-SA"/>
        </w:rPr>
        <w:t>2: Ratios of analyte concentrations</w:t>
      </w:r>
      <w:r w:rsidR="001A38E3">
        <w:rPr>
          <w:b/>
          <w:lang w:eastAsia="en-AU" w:bidi="ar-SA"/>
        </w:rPr>
        <w:t>/peak areas</w:t>
      </w:r>
      <w:r w:rsidRPr="00C46C9B">
        <w:rPr>
          <w:b/>
          <w:lang w:eastAsia="en-AU" w:bidi="ar-SA"/>
        </w:rPr>
        <w:t xml:space="preserve"> in </w:t>
      </w:r>
      <w:r w:rsidR="00823915">
        <w:rPr>
          <w:b/>
          <w:lang w:eastAsia="en-AU" w:bidi="ar-SA"/>
        </w:rPr>
        <w:t xml:space="preserve">the </w:t>
      </w:r>
      <w:r w:rsidRPr="00C46C9B">
        <w:rPr>
          <w:b/>
          <w:lang w:eastAsia="en-AU" w:bidi="ar-SA"/>
        </w:rPr>
        <w:t>1</w:t>
      </w:r>
      <w:r w:rsidR="00405A25">
        <w:rPr>
          <w:b/>
          <w:lang w:eastAsia="en-AU" w:bidi="ar-SA"/>
        </w:rPr>
        <w:t>2</w:t>
      </w:r>
      <w:r w:rsidR="00B81E26">
        <w:rPr>
          <w:b/>
          <w:lang w:eastAsia="en-AU" w:bidi="ar-SA"/>
        </w:rPr>
        <w:t xml:space="preserve"> </w:t>
      </w:r>
      <w:r w:rsidRPr="00C46C9B">
        <w:rPr>
          <w:b/>
          <w:lang w:eastAsia="en-AU" w:bidi="ar-SA"/>
        </w:rPr>
        <w:t>honey samples</w:t>
      </w:r>
      <w:r w:rsidR="00823915">
        <w:rPr>
          <w:b/>
          <w:lang w:eastAsia="en-AU" w:bidi="ar-SA"/>
        </w:rPr>
        <w:t xml:space="preserve"> containing</w:t>
      </w:r>
      <w:r w:rsidR="00A62A39">
        <w:rPr>
          <w:b/>
          <w:lang w:eastAsia="en-AU" w:bidi="ar-SA"/>
        </w:rPr>
        <w:t xml:space="preserve"> detectable tutin</w:t>
      </w:r>
    </w:p>
    <w:p w:rsidR="0097394F" w:rsidRPr="00C46C9B" w:rsidRDefault="0097394F" w:rsidP="00C46C9B">
      <w:pPr>
        <w:tabs>
          <w:tab w:val="left" w:pos="3600"/>
        </w:tabs>
        <w:rPr>
          <w:sz w:val="12"/>
          <w:szCs w:val="12"/>
          <w:lang w:eastAsia="en-AU" w:bidi="ar-SA"/>
        </w:rPr>
      </w:pPr>
    </w:p>
    <w:tbl>
      <w:tblPr>
        <w:tblStyle w:val="TableGrid"/>
        <w:tblW w:w="11992" w:type="dxa"/>
        <w:tblLayout w:type="fixed"/>
        <w:tblLook w:val="04A0" w:firstRow="1" w:lastRow="0" w:firstColumn="1" w:lastColumn="0" w:noHBand="0" w:noVBand="1"/>
      </w:tblPr>
      <w:tblGrid>
        <w:gridCol w:w="1361"/>
        <w:gridCol w:w="1441"/>
        <w:gridCol w:w="1275"/>
        <w:gridCol w:w="1276"/>
        <w:gridCol w:w="1418"/>
        <w:gridCol w:w="1134"/>
        <w:gridCol w:w="1417"/>
        <w:gridCol w:w="1111"/>
        <w:gridCol w:w="1559"/>
      </w:tblGrid>
      <w:tr w:rsidR="00CA2F93" w:rsidTr="001E4A40">
        <w:trPr>
          <w:cantSplit/>
          <w:tblHeader/>
        </w:trPr>
        <w:tc>
          <w:tcPr>
            <w:tcW w:w="1361" w:type="dxa"/>
            <w:vAlign w:val="center"/>
          </w:tcPr>
          <w:p w:rsidR="00CA2F93" w:rsidRPr="003B5F2F" w:rsidRDefault="00CA2F93" w:rsidP="0076178E">
            <w:pPr>
              <w:tabs>
                <w:tab w:val="left" w:pos="3600"/>
              </w:tabs>
              <w:spacing w:before="40" w:after="40"/>
              <w:jc w:val="center"/>
              <w:rPr>
                <w:sz w:val="20"/>
                <w:szCs w:val="20"/>
                <w:lang w:eastAsia="en-AU" w:bidi="ar-SA"/>
              </w:rPr>
            </w:pPr>
          </w:p>
        </w:tc>
        <w:tc>
          <w:tcPr>
            <w:tcW w:w="10631" w:type="dxa"/>
            <w:gridSpan w:val="8"/>
            <w:vAlign w:val="center"/>
          </w:tcPr>
          <w:p w:rsidR="00CA2F93" w:rsidRPr="003B5F2F" w:rsidRDefault="00CA2F93" w:rsidP="0076178E">
            <w:pPr>
              <w:tabs>
                <w:tab w:val="left" w:pos="3600"/>
              </w:tabs>
              <w:spacing w:before="40" w:after="40"/>
              <w:jc w:val="center"/>
              <w:rPr>
                <w:b/>
                <w:sz w:val="20"/>
                <w:szCs w:val="20"/>
                <w:lang w:eastAsia="en-AU" w:bidi="ar-SA"/>
              </w:rPr>
            </w:pPr>
            <w:r w:rsidRPr="003B5F2F">
              <w:rPr>
                <w:b/>
                <w:sz w:val="20"/>
                <w:szCs w:val="20"/>
                <w:lang w:eastAsia="en-AU" w:bidi="ar-SA"/>
              </w:rPr>
              <w:t>Ratio</w:t>
            </w:r>
          </w:p>
        </w:tc>
      </w:tr>
      <w:tr w:rsidR="00CA2F93" w:rsidTr="00C46C9B">
        <w:trPr>
          <w:cantSplit/>
          <w:tblHeader/>
        </w:trPr>
        <w:tc>
          <w:tcPr>
            <w:tcW w:w="1361" w:type="dxa"/>
            <w:tcBorders>
              <w:bottom w:val="single" w:sz="4" w:space="0" w:color="auto"/>
            </w:tcBorders>
            <w:vAlign w:val="center"/>
          </w:tcPr>
          <w:p w:rsidR="0097394F" w:rsidRPr="003B5F2F" w:rsidRDefault="0097394F" w:rsidP="0076178E">
            <w:pPr>
              <w:tabs>
                <w:tab w:val="left" w:pos="3600"/>
              </w:tabs>
              <w:spacing w:before="40" w:after="40"/>
              <w:rPr>
                <w:b/>
                <w:sz w:val="20"/>
                <w:szCs w:val="20"/>
                <w:lang w:eastAsia="en-AU" w:bidi="ar-SA"/>
              </w:rPr>
            </w:pPr>
            <w:r w:rsidRPr="003B5F2F">
              <w:rPr>
                <w:b/>
                <w:sz w:val="20"/>
                <w:szCs w:val="20"/>
                <w:lang w:eastAsia="en-AU" w:bidi="ar-SA"/>
              </w:rPr>
              <w:t>Honey sample</w:t>
            </w:r>
          </w:p>
        </w:tc>
        <w:tc>
          <w:tcPr>
            <w:tcW w:w="1441" w:type="dxa"/>
            <w:tcBorders>
              <w:bottom w:val="single" w:sz="4" w:space="0" w:color="auto"/>
            </w:tcBorders>
            <w:vAlign w:val="center"/>
          </w:tcPr>
          <w:p w:rsidR="0097394F" w:rsidRPr="003B5F2F" w:rsidRDefault="0097394F" w:rsidP="0076178E">
            <w:pPr>
              <w:tabs>
                <w:tab w:val="left" w:pos="3600"/>
              </w:tabs>
              <w:spacing w:before="40" w:after="40"/>
              <w:jc w:val="center"/>
              <w:rPr>
                <w:b/>
                <w:sz w:val="20"/>
                <w:szCs w:val="20"/>
                <w:lang w:eastAsia="en-AU" w:bidi="ar-SA"/>
              </w:rPr>
            </w:pPr>
            <w:r w:rsidRPr="003B5F2F">
              <w:rPr>
                <w:b/>
                <w:sz w:val="20"/>
                <w:szCs w:val="20"/>
                <w:lang w:eastAsia="en-AU" w:bidi="ar-SA"/>
              </w:rPr>
              <w:t>H</w:t>
            </w:r>
            <w:r>
              <w:rPr>
                <w:b/>
                <w:sz w:val="20"/>
                <w:szCs w:val="20"/>
                <w:lang w:eastAsia="en-AU" w:bidi="ar-SA"/>
              </w:rPr>
              <w:t>yenanchin</w:t>
            </w:r>
            <w:r w:rsidRPr="003B5F2F">
              <w:rPr>
                <w:b/>
                <w:sz w:val="20"/>
                <w:szCs w:val="20"/>
                <w:lang w:eastAsia="en-AU" w:bidi="ar-SA"/>
              </w:rPr>
              <w:t>:T</w:t>
            </w:r>
            <w:r>
              <w:rPr>
                <w:b/>
                <w:sz w:val="20"/>
                <w:szCs w:val="20"/>
                <w:lang w:eastAsia="en-AU" w:bidi="ar-SA"/>
              </w:rPr>
              <w:t>utin</w:t>
            </w:r>
          </w:p>
        </w:tc>
        <w:tc>
          <w:tcPr>
            <w:tcW w:w="1275" w:type="dxa"/>
            <w:tcBorders>
              <w:bottom w:val="single" w:sz="4" w:space="0" w:color="auto"/>
            </w:tcBorders>
            <w:vAlign w:val="center"/>
          </w:tcPr>
          <w:p w:rsidR="0097394F" w:rsidRDefault="0097394F" w:rsidP="0076178E">
            <w:pPr>
              <w:tabs>
                <w:tab w:val="left" w:pos="3600"/>
              </w:tabs>
              <w:spacing w:before="40" w:after="40"/>
              <w:jc w:val="center"/>
              <w:rPr>
                <w:b/>
                <w:sz w:val="20"/>
                <w:szCs w:val="20"/>
                <w:lang w:eastAsia="en-AU" w:bidi="ar-SA"/>
              </w:rPr>
            </w:pPr>
            <w:r>
              <w:rPr>
                <w:b/>
                <w:sz w:val="20"/>
                <w:szCs w:val="20"/>
                <w:lang w:eastAsia="en-AU" w:bidi="ar-SA"/>
              </w:rPr>
              <w:t>gly</w:t>
            </w:r>
            <w:r w:rsidRPr="003B5F2F">
              <w:rPr>
                <w:b/>
                <w:sz w:val="20"/>
                <w:szCs w:val="20"/>
                <w:lang w:eastAsia="en-AU" w:bidi="ar-SA"/>
              </w:rPr>
              <w:t>-A</w:t>
            </w:r>
            <w:r>
              <w:rPr>
                <w:b/>
                <w:sz w:val="20"/>
                <w:szCs w:val="20"/>
                <w:lang w:eastAsia="en-AU" w:bidi="ar-SA"/>
              </w:rPr>
              <w:t>:</w:t>
            </w:r>
          </w:p>
          <w:p w:rsidR="0097394F" w:rsidRPr="003B5F2F" w:rsidRDefault="0097394F" w:rsidP="0076178E">
            <w:pPr>
              <w:tabs>
                <w:tab w:val="left" w:pos="3600"/>
              </w:tabs>
              <w:spacing w:before="40" w:after="40"/>
              <w:jc w:val="center"/>
              <w:rPr>
                <w:rFonts w:cs="Arial"/>
                <w:b/>
                <w:sz w:val="20"/>
                <w:szCs w:val="20"/>
                <w:lang w:eastAsia="en-AU" w:bidi="ar-SA"/>
              </w:rPr>
            </w:pPr>
            <w:r>
              <w:rPr>
                <w:b/>
                <w:sz w:val="20"/>
                <w:szCs w:val="20"/>
                <w:lang w:eastAsia="en-AU" w:bidi="ar-SA"/>
              </w:rPr>
              <w:t>digly-C</w:t>
            </w:r>
          </w:p>
        </w:tc>
        <w:tc>
          <w:tcPr>
            <w:tcW w:w="1276" w:type="dxa"/>
            <w:tcBorders>
              <w:bottom w:val="single" w:sz="4" w:space="0" w:color="auto"/>
            </w:tcBorders>
            <w:vAlign w:val="center"/>
          </w:tcPr>
          <w:p w:rsidR="0097394F" w:rsidRDefault="0097394F" w:rsidP="0076178E">
            <w:pPr>
              <w:tabs>
                <w:tab w:val="left" w:pos="3600"/>
              </w:tabs>
              <w:spacing w:before="40" w:after="40"/>
              <w:jc w:val="center"/>
              <w:rPr>
                <w:b/>
                <w:sz w:val="20"/>
                <w:szCs w:val="20"/>
                <w:lang w:eastAsia="en-AU" w:bidi="ar-SA"/>
              </w:rPr>
            </w:pPr>
            <w:r>
              <w:rPr>
                <w:b/>
                <w:sz w:val="20"/>
                <w:szCs w:val="20"/>
                <w:lang w:eastAsia="en-AU" w:bidi="ar-SA"/>
              </w:rPr>
              <w:t>gly</w:t>
            </w:r>
            <w:r w:rsidRPr="003B5F2F">
              <w:rPr>
                <w:b/>
                <w:sz w:val="20"/>
                <w:szCs w:val="20"/>
                <w:lang w:eastAsia="en-AU" w:bidi="ar-SA"/>
              </w:rPr>
              <w:t>-</w:t>
            </w:r>
            <w:r>
              <w:rPr>
                <w:b/>
                <w:sz w:val="20"/>
                <w:szCs w:val="20"/>
                <w:lang w:eastAsia="en-AU" w:bidi="ar-SA"/>
              </w:rPr>
              <w:t>A:</w:t>
            </w:r>
          </w:p>
          <w:p w:rsidR="0097394F" w:rsidRPr="003B5F2F" w:rsidRDefault="0097394F" w:rsidP="0076178E">
            <w:pPr>
              <w:tabs>
                <w:tab w:val="left" w:pos="3600"/>
              </w:tabs>
              <w:spacing w:before="40" w:after="40"/>
              <w:jc w:val="center"/>
              <w:rPr>
                <w:rFonts w:cs="Arial"/>
                <w:b/>
                <w:sz w:val="20"/>
                <w:szCs w:val="20"/>
                <w:lang w:eastAsia="en-AU" w:bidi="ar-SA"/>
              </w:rPr>
            </w:pPr>
            <w:r>
              <w:rPr>
                <w:b/>
                <w:sz w:val="20"/>
                <w:szCs w:val="20"/>
                <w:lang w:eastAsia="en-AU" w:bidi="ar-SA"/>
              </w:rPr>
              <w:t>digly-D</w:t>
            </w:r>
          </w:p>
        </w:tc>
        <w:tc>
          <w:tcPr>
            <w:tcW w:w="1418" w:type="dxa"/>
            <w:tcBorders>
              <w:bottom w:val="single" w:sz="4" w:space="0" w:color="auto"/>
            </w:tcBorders>
            <w:vAlign w:val="center"/>
          </w:tcPr>
          <w:p w:rsidR="0097394F" w:rsidRDefault="0097394F" w:rsidP="0076178E">
            <w:pPr>
              <w:tabs>
                <w:tab w:val="left" w:pos="3600"/>
              </w:tabs>
              <w:spacing w:before="40" w:after="40"/>
              <w:jc w:val="center"/>
              <w:rPr>
                <w:b/>
                <w:sz w:val="20"/>
                <w:szCs w:val="20"/>
                <w:lang w:eastAsia="en-AU" w:bidi="ar-SA"/>
              </w:rPr>
            </w:pPr>
            <w:r>
              <w:rPr>
                <w:b/>
                <w:sz w:val="20"/>
                <w:szCs w:val="20"/>
                <w:lang w:eastAsia="en-AU" w:bidi="ar-SA"/>
              </w:rPr>
              <w:t>gly-A:</w:t>
            </w:r>
          </w:p>
          <w:p w:rsidR="0097394F" w:rsidRPr="00F91273" w:rsidRDefault="0097394F">
            <w:pPr>
              <w:tabs>
                <w:tab w:val="left" w:pos="3600"/>
              </w:tabs>
              <w:spacing w:before="40" w:after="40"/>
              <w:jc w:val="center"/>
              <w:rPr>
                <w:b/>
                <w:sz w:val="20"/>
                <w:szCs w:val="20"/>
                <w:lang w:eastAsia="en-AU" w:bidi="ar-SA"/>
              </w:rPr>
            </w:pPr>
            <w:r>
              <w:rPr>
                <w:b/>
                <w:sz w:val="20"/>
                <w:szCs w:val="20"/>
                <w:lang w:eastAsia="en-AU" w:bidi="ar-SA"/>
              </w:rPr>
              <w:t>trigly-H</w:t>
            </w:r>
          </w:p>
        </w:tc>
        <w:tc>
          <w:tcPr>
            <w:tcW w:w="1134" w:type="dxa"/>
            <w:tcBorders>
              <w:bottom w:val="single" w:sz="4" w:space="0" w:color="auto"/>
            </w:tcBorders>
            <w:vAlign w:val="center"/>
          </w:tcPr>
          <w:p w:rsidR="0097394F" w:rsidRDefault="0097394F" w:rsidP="0076178E">
            <w:pPr>
              <w:tabs>
                <w:tab w:val="left" w:pos="3600"/>
              </w:tabs>
              <w:spacing w:before="40" w:after="40"/>
              <w:jc w:val="center"/>
              <w:rPr>
                <w:b/>
                <w:sz w:val="20"/>
                <w:szCs w:val="20"/>
                <w:lang w:eastAsia="en-AU" w:bidi="ar-SA"/>
              </w:rPr>
            </w:pPr>
            <w:r>
              <w:rPr>
                <w:b/>
                <w:sz w:val="20"/>
                <w:szCs w:val="20"/>
                <w:lang w:eastAsia="en-AU" w:bidi="ar-SA"/>
              </w:rPr>
              <w:t>digly-C:</w:t>
            </w:r>
          </w:p>
          <w:p w:rsidR="0097394F" w:rsidRPr="003B5F2F" w:rsidRDefault="0097394F" w:rsidP="0076178E">
            <w:pPr>
              <w:tabs>
                <w:tab w:val="left" w:pos="3600"/>
              </w:tabs>
              <w:spacing w:before="40" w:after="40"/>
              <w:jc w:val="center"/>
              <w:rPr>
                <w:b/>
                <w:sz w:val="20"/>
                <w:szCs w:val="20"/>
                <w:lang w:eastAsia="en-AU" w:bidi="ar-SA"/>
              </w:rPr>
            </w:pPr>
            <w:r>
              <w:rPr>
                <w:b/>
                <w:sz w:val="20"/>
                <w:szCs w:val="20"/>
                <w:lang w:eastAsia="en-AU" w:bidi="ar-SA"/>
              </w:rPr>
              <w:t>digly-D</w:t>
            </w:r>
          </w:p>
        </w:tc>
        <w:tc>
          <w:tcPr>
            <w:tcW w:w="1417" w:type="dxa"/>
            <w:tcBorders>
              <w:bottom w:val="single" w:sz="4" w:space="0" w:color="auto"/>
            </w:tcBorders>
            <w:vAlign w:val="center"/>
          </w:tcPr>
          <w:p w:rsidR="0097394F" w:rsidRDefault="0097394F" w:rsidP="0076178E">
            <w:pPr>
              <w:tabs>
                <w:tab w:val="left" w:pos="3600"/>
              </w:tabs>
              <w:spacing w:before="40" w:after="40"/>
              <w:jc w:val="center"/>
              <w:rPr>
                <w:b/>
                <w:sz w:val="20"/>
                <w:szCs w:val="20"/>
                <w:lang w:eastAsia="en-AU" w:bidi="ar-SA"/>
              </w:rPr>
            </w:pPr>
            <w:r w:rsidRPr="0097394F">
              <w:rPr>
                <w:b/>
                <w:sz w:val="20"/>
                <w:szCs w:val="20"/>
                <w:lang w:eastAsia="en-AU" w:bidi="ar-SA"/>
              </w:rPr>
              <w:t>digly-C:</w:t>
            </w:r>
          </w:p>
          <w:p w:rsidR="0097394F" w:rsidRDefault="0097394F" w:rsidP="0076178E">
            <w:pPr>
              <w:tabs>
                <w:tab w:val="left" w:pos="3600"/>
              </w:tabs>
              <w:spacing w:before="40" w:after="40"/>
              <w:jc w:val="center"/>
              <w:rPr>
                <w:b/>
                <w:sz w:val="20"/>
                <w:szCs w:val="20"/>
                <w:lang w:eastAsia="en-AU" w:bidi="ar-SA"/>
              </w:rPr>
            </w:pPr>
            <w:r>
              <w:rPr>
                <w:b/>
                <w:sz w:val="20"/>
                <w:szCs w:val="20"/>
                <w:lang w:eastAsia="en-AU" w:bidi="ar-SA"/>
              </w:rPr>
              <w:t>trigly-H</w:t>
            </w:r>
          </w:p>
        </w:tc>
        <w:tc>
          <w:tcPr>
            <w:tcW w:w="1111" w:type="dxa"/>
            <w:tcBorders>
              <w:bottom w:val="single" w:sz="4" w:space="0" w:color="auto"/>
            </w:tcBorders>
            <w:vAlign w:val="center"/>
          </w:tcPr>
          <w:p w:rsidR="00BC66D5" w:rsidRDefault="00BC66D5">
            <w:pPr>
              <w:tabs>
                <w:tab w:val="left" w:pos="3600"/>
              </w:tabs>
              <w:spacing w:before="40" w:after="40"/>
              <w:jc w:val="center"/>
              <w:rPr>
                <w:b/>
                <w:sz w:val="20"/>
                <w:szCs w:val="20"/>
                <w:lang w:eastAsia="en-AU" w:bidi="ar-SA"/>
              </w:rPr>
            </w:pPr>
            <w:r>
              <w:rPr>
                <w:b/>
                <w:sz w:val="20"/>
                <w:szCs w:val="20"/>
                <w:lang w:eastAsia="en-AU" w:bidi="ar-SA"/>
              </w:rPr>
              <w:t>digly-D:</w:t>
            </w:r>
          </w:p>
          <w:p w:rsidR="0097394F" w:rsidRDefault="00BC66D5">
            <w:pPr>
              <w:tabs>
                <w:tab w:val="left" w:pos="3600"/>
              </w:tabs>
              <w:spacing w:before="40" w:after="40"/>
              <w:jc w:val="center"/>
              <w:rPr>
                <w:b/>
                <w:sz w:val="20"/>
                <w:szCs w:val="20"/>
                <w:lang w:eastAsia="en-AU" w:bidi="ar-SA"/>
              </w:rPr>
            </w:pPr>
            <w:r>
              <w:rPr>
                <w:b/>
                <w:sz w:val="20"/>
                <w:szCs w:val="20"/>
                <w:lang w:eastAsia="en-AU" w:bidi="ar-SA"/>
              </w:rPr>
              <w:t>trigl-H</w:t>
            </w:r>
          </w:p>
        </w:tc>
        <w:tc>
          <w:tcPr>
            <w:tcW w:w="1559" w:type="dxa"/>
            <w:tcBorders>
              <w:bottom w:val="single" w:sz="4" w:space="0" w:color="auto"/>
            </w:tcBorders>
            <w:vAlign w:val="center"/>
          </w:tcPr>
          <w:p w:rsidR="0097394F" w:rsidRPr="00B46577" w:rsidRDefault="001C53E3" w:rsidP="0076178E">
            <w:pPr>
              <w:tabs>
                <w:tab w:val="left" w:pos="3600"/>
              </w:tabs>
              <w:spacing w:before="40" w:after="40"/>
              <w:jc w:val="center"/>
              <w:rPr>
                <w:b/>
                <w:sz w:val="20"/>
                <w:szCs w:val="20"/>
                <w:lang w:eastAsia="en-AU" w:bidi="ar-SA"/>
              </w:rPr>
            </w:pPr>
            <w:r>
              <w:rPr>
                <w:b/>
                <w:sz w:val="20"/>
                <w:szCs w:val="20"/>
                <w:lang w:eastAsia="en-AU" w:bidi="ar-SA"/>
              </w:rPr>
              <w:t>Ratio (</w:t>
            </w:r>
            <w:r w:rsidR="0097394F">
              <w:rPr>
                <w:b/>
                <w:sz w:val="20"/>
                <w:szCs w:val="20"/>
                <w:lang w:eastAsia="en-AU" w:bidi="ar-SA"/>
              </w:rPr>
              <w:t>Total glycosides</w:t>
            </w:r>
            <w:r w:rsidR="0097394F" w:rsidRPr="00B46577">
              <w:rPr>
                <w:b/>
                <w:sz w:val="20"/>
                <w:szCs w:val="20"/>
                <w:lang w:eastAsia="en-AU" w:bidi="ar-SA"/>
              </w:rPr>
              <w:t>:</w:t>
            </w:r>
          </w:p>
          <w:p w:rsidR="0097394F" w:rsidRPr="003B5F2F" w:rsidRDefault="0097394F" w:rsidP="0076178E">
            <w:pPr>
              <w:tabs>
                <w:tab w:val="left" w:pos="3600"/>
              </w:tabs>
              <w:spacing w:before="40" w:after="40"/>
              <w:jc w:val="center"/>
              <w:rPr>
                <w:b/>
                <w:sz w:val="20"/>
                <w:szCs w:val="20"/>
                <w:lang w:eastAsia="en-AU" w:bidi="ar-SA"/>
              </w:rPr>
            </w:pPr>
            <w:r>
              <w:rPr>
                <w:b/>
                <w:sz w:val="20"/>
                <w:szCs w:val="20"/>
                <w:lang w:eastAsia="en-AU" w:bidi="ar-SA"/>
              </w:rPr>
              <w:t>T</w:t>
            </w:r>
            <w:r w:rsidRPr="00B46577">
              <w:rPr>
                <w:b/>
                <w:sz w:val="20"/>
                <w:szCs w:val="20"/>
                <w:lang w:eastAsia="en-AU" w:bidi="ar-SA"/>
              </w:rPr>
              <w:t>utin)</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M1 (1 of 4)</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10.5</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0.26</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0.44</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2.88</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1.66</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10.88</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6.56</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9.5</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M1 (2 of 4)</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10.0</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0.22</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0.32</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2.11</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1.47</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9.67</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6.56</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10.0</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M1 (3 of 4)</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12.7</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0.26</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0.39</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2.53</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1.53</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9.89</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6.47</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10.5</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M1 (4 of 4)</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10.3</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0.23</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0.36</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2.26</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1.53</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9.74</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6.37</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11.5</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M2</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7.5</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0.21</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0.33</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2.25</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1.59</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10.83</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6.83</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9.3</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P1</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4.5</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0.21</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0.23</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2.75</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1.11</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13.38</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12.06</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4.4</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P2</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6.7</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0.19</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0.21</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1.78</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1.11</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9.47</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8.53</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5.3</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P3</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3.4</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0.22</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0.20</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2.69</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0.91</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12.38</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13.54</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3.1</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P4</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4.0</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0.26</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0.22</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2.64</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0.86</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10.09</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11.73</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2.6</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P5</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3.6</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0.21</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0.18</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1.82</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0.84</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8.65</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10.29</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3.3</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F1</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3.8</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0.24</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0.33</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2.25</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1.35</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9.31</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6.88</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4.8</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F2</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3.6</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0.28</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0.43</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2.27</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1.54</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8.14</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5.27</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5.7</w:t>
            </w:r>
          </w:p>
        </w:tc>
      </w:tr>
      <w:tr w:rsidR="00CA2F93" w:rsidTr="00C46C9B">
        <w:trPr>
          <w:cantSplit/>
        </w:trPr>
        <w:tc>
          <w:tcPr>
            <w:tcW w:w="1361" w:type="dxa"/>
            <w:tcBorders>
              <w:top w:val="single" w:sz="4" w:space="0" w:color="auto"/>
              <w:left w:val="single" w:sz="4" w:space="0" w:color="auto"/>
              <w:bottom w:val="nil"/>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Honey 1</w:t>
            </w:r>
            <w:r>
              <w:rPr>
                <w:rFonts w:cs="Arial"/>
                <w:sz w:val="20"/>
                <w:szCs w:val="20"/>
                <w:lang w:eastAsia="en-AU" w:bidi="ar-SA"/>
              </w:rPr>
              <w:t xml:space="preserve"> </w:t>
            </w:r>
            <w:r w:rsidRPr="003B5F2F">
              <w:rPr>
                <w:rFonts w:cs="Arial"/>
                <w:sz w:val="20"/>
                <w:szCs w:val="20"/>
                <w:vertAlign w:val="superscript"/>
                <w:lang w:eastAsia="en-AU" w:bidi="ar-SA"/>
              </w:rPr>
              <w:t>*</w:t>
            </w:r>
          </w:p>
        </w:tc>
        <w:tc>
          <w:tcPr>
            <w:tcW w:w="1441" w:type="dxa"/>
            <w:tcBorders>
              <w:top w:val="single" w:sz="4" w:space="0" w:color="auto"/>
              <w:left w:val="nil"/>
              <w:bottom w:val="nil"/>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6.4</w:t>
            </w:r>
          </w:p>
        </w:tc>
        <w:tc>
          <w:tcPr>
            <w:tcW w:w="1275"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0.12</w:t>
            </w:r>
          </w:p>
        </w:tc>
        <w:tc>
          <w:tcPr>
            <w:tcW w:w="1276"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0.25</w:t>
            </w:r>
          </w:p>
        </w:tc>
        <w:tc>
          <w:tcPr>
            <w:tcW w:w="1418" w:type="dxa"/>
            <w:tcBorders>
              <w:top w:val="single" w:sz="4" w:space="0" w:color="auto"/>
              <w:left w:val="nil"/>
              <w:bottom w:val="nil"/>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1.12</w:t>
            </w:r>
          </w:p>
        </w:tc>
        <w:tc>
          <w:tcPr>
            <w:tcW w:w="1134" w:type="dxa"/>
            <w:tcBorders>
              <w:top w:val="single" w:sz="4" w:space="0" w:color="auto"/>
              <w:left w:val="nil"/>
              <w:bottom w:val="nil"/>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2.11</w:t>
            </w:r>
          </w:p>
        </w:tc>
        <w:tc>
          <w:tcPr>
            <w:tcW w:w="1417" w:type="dxa"/>
            <w:tcBorders>
              <w:top w:val="single" w:sz="4" w:space="0" w:color="auto"/>
              <w:left w:val="nil"/>
              <w:bottom w:val="nil"/>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9.54</w:t>
            </w:r>
          </w:p>
        </w:tc>
        <w:tc>
          <w:tcPr>
            <w:tcW w:w="1111" w:type="dxa"/>
            <w:tcBorders>
              <w:top w:val="single" w:sz="4" w:space="0" w:color="auto"/>
              <w:left w:val="nil"/>
              <w:bottom w:val="nil"/>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4.52</w:t>
            </w:r>
          </w:p>
        </w:tc>
        <w:tc>
          <w:tcPr>
            <w:tcW w:w="1559" w:type="dxa"/>
            <w:tcBorders>
              <w:top w:val="single" w:sz="4" w:space="0" w:color="auto"/>
              <w:left w:val="nil"/>
              <w:bottom w:val="nil"/>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5.4</w:t>
            </w: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Honey 2</w:t>
            </w:r>
            <w:r>
              <w:rPr>
                <w:rFonts w:cs="Arial"/>
                <w:sz w:val="20"/>
                <w:szCs w:val="20"/>
                <w:lang w:eastAsia="en-AU" w:bidi="ar-SA"/>
              </w:rPr>
              <w:t xml:space="preserve"> </w:t>
            </w:r>
            <w:r w:rsidRPr="003B5F2F">
              <w:rPr>
                <w:rFonts w:cs="Arial"/>
                <w:sz w:val="20"/>
                <w:szCs w:val="20"/>
                <w:vertAlign w:val="superscript"/>
                <w:lang w:eastAsia="en-AU" w:bidi="ar-SA"/>
              </w:rPr>
              <w:t>^</w:t>
            </w:r>
          </w:p>
        </w:tc>
        <w:tc>
          <w:tcPr>
            <w:tcW w:w="1441" w:type="dxa"/>
            <w:tcBorders>
              <w:top w:val="single" w:sz="4" w:space="0" w:color="auto"/>
              <w:left w:val="nil"/>
              <w:bottom w:val="single" w:sz="4" w:space="0" w:color="auto"/>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5.8</w:t>
            </w:r>
          </w:p>
        </w:tc>
        <w:tc>
          <w:tcPr>
            <w:tcW w:w="1275" w:type="dxa"/>
            <w:tcBorders>
              <w:top w:val="single" w:sz="4" w:space="0" w:color="auto"/>
              <w:left w:val="nil"/>
              <w:bottom w:val="single" w:sz="4" w:space="0" w:color="auto"/>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0.34</w:t>
            </w:r>
          </w:p>
        </w:tc>
        <w:tc>
          <w:tcPr>
            <w:tcW w:w="1276" w:type="dxa"/>
            <w:tcBorders>
              <w:top w:val="single" w:sz="4" w:space="0" w:color="auto"/>
              <w:left w:val="nil"/>
              <w:bottom w:val="single" w:sz="4" w:space="0" w:color="auto"/>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1.09</w:t>
            </w:r>
          </w:p>
        </w:tc>
        <w:tc>
          <w:tcPr>
            <w:tcW w:w="1418" w:type="dxa"/>
            <w:tcBorders>
              <w:top w:val="single" w:sz="4" w:space="0" w:color="auto"/>
              <w:left w:val="nil"/>
              <w:bottom w:val="single" w:sz="4" w:space="0" w:color="auto"/>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1.93</w:t>
            </w:r>
          </w:p>
        </w:tc>
        <w:tc>
          <w:tcPr>
            <w:tcW w:w="1134" w:type="dxa"/>
            <w:tcBorders>
              <w:top w:val="single" w:sz="4" w:space="0" w:color="auto"/>
              <w:left w:val="nil"/>
              <w:bottom w:val="single" w:sz="4" w:space="0" w:color="auto"/>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3.22</w:t>
            </w:r>
          </w:p>
        </w:tc>
        <w:tc>
          <w:tcPr>
            <w:tcW w:w="1417" w:type="dxa"/>
            <w:tcBorders>
              <w:top w:val="single" w:sz="4" w:space="0" w:color="auto"/>
              <w:left w:val="nil"/>
              <w:bottom w:val="single" w:sz="4" w:space="0" w:color="auto"/>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5.68</w:t>
            </w:r>
          </w:p>
        </w:tc>
        <w:tc>
          <w:tcPr>
            <w:tcW w:w="1111" w:type="dxa"/>
            <w:tcBorders>
              <w:top w:val="single" w:sz="4" w:space="0" w:color="auto"/>
              <w:left w:val="nil"/>
              <w:bottom w:val="single" w:sz="4" w:space="0" w:color="auto"/>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1.76</w:t>
            </w:r>
          </w:p>
        </w:tc>
        <w:tc>
          <w:tcPr>
            <w:tcW w:w="1559" w:type="dxa"/>
            <w:tcBorders>
              <w:top w:val="single" w:sz="4" w:space="0" w:color="auto"/>
              <w:left w:val="nil"/>
              <w:bottom w:val="single" w:sz="4" w:space="0" w:color="auto"/>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7.5</w:t>
            </w: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97394F" w:rsidRPr="003B5F2F" w:rsidRDefault="0097394F" w:rsidP="0076178E">
            <w:pPr>
              <w:tabs>
                <w:tab w:val="left" w:pos="3600"/>
              </w:tabs>
              <w:spacing w:before="40" w:after="40"/>
              <w:rPr>
                <w:rFonts w:cs="Arial"/>
                <w:sz w:val="20"/>
                <w:szCs w:val="20"/>
                <w:lang w:eastAsia="en-AU" w:bidi="ar-SA"/>
              </w:rPr>
            </w:pPr>
            <w:r w:rsidRPr="003B5F2F">
              <w:rPr>
                <w:rFonts w:cs="Arial"/>
                <w:sz w:val="20"/>
                <w:szCs w:val="20"/>
                <w:lang w:eastAsia="en-AU" w:bidi="ar-SA"/>
              </w:rPr>
              <w:t>Honey 3</w:t>
            </w:r>
            <w:r>
              <w:rPr>
                <w:rFonts w:cs="Arial"/>
                <w:sz w:val="20"/>
                <w:szCs w:val="20"/>
                <w:lang w:eastAsia="en-AU" w:bidi="ar-SA"/>
              </w:rPr>
              <w:t xml:space="preserve"> </w:t>
            </w:r>
            <w:r w:rsidRPr="003B5F2F">
              <w:rPr>
                <w:rFonts w:cs="Arial"/>
                <w:sz w:val="20"/>
                <w:szCs w:val="20"/>
                <w:vertAlign w:val="superscript"/>
                <w:lang w:eastAsia="en-AU" w:bidi="ar-SA"/>
              </w:rPr>
              <w:t>†</w:t>
            </w:r>
          </w:p>
        </w:tc>
        <w:tc>
          <w:tcPr>
            <w:tcW w:w="1441" w:type="dxa"/>
            <w:tcBorders>
              <w:top w:val="single" w:sz="4" w:space="0" w:color="auto"/>
              <w:left w:val="nil"/>
              <w:bottom w:val="single" w:sz="4" w:space="0" w:color="auto"/>
              <w:right w:val="nil"/>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7.6</w:t>
            </w:r>
          </w:p>
        </w:tc>
        <w:tc>
          <w:tcPr>
            <w:tcW w:w="1275" w:type="dxa"/>
            <w:tcBorders>
              <w:top w:val="single" w:sz="4" w:space="0" w:color="auto"/>
              <w:left w:val="nil"/>
              <w:bottom w:val="single" w:sz="4" w:space="0" w:color="auto"/>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0.12</w:t>
            </w:r>
          </w:p>
        </w:tc>
        <w:tc>
          <w:tcPr>
            <w:tcW w:w="1276" w:type="dxa"/>
            <w:tcBorders>
              <w:top w:val="single" w:sz="4" w:space="0" w:color="auto"/>
              <w:left w:val="nil"/>
              <w:bottom w:val="single" w:sz="4" w:space="0" w:color="auto"/>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0.07</w:t>
            </w:r>
          </w:p>
        </w:tc>
        <w:tc>
          <w:tcPr>
            <w:tcW w:w="1418" w:type="dxa"/>
            <w:tcBorders>
              <w:top w:val="single" w:sz="4" w:space="0" w:color="auto"/>
              <w:left w:val="nil"/>
              <w:bottom w:val="single" w:sz="4" w:space="0" w:color="auto"/>
              <w:right w:val="nil"/>
            </w:tcBorders>
          </w:tcPr>
          <w:p w:rsidR="0097394F" w:rsidRPr="003B5F2F" w:rsidRDefault="00D00C3A" w:rsidP="0076178E">
            <w:pPr>
              <w:tabs>
                <w:tab w:val="left" w:pos="3600"/>
              </w:tabs>
              <w:spacing w:before="40" w:after="40"/>
              <w:jc w:val="center"/>
              <w:rPr>
                <w:rFonts w:cs="Arial"/>
                <w:sz w:val="20"/>
                <w:szCs w:val="20"/>
                <w:lang w:eastAsia="en-AU" w:bidi="ar-SA"/>
              </w:rPr>
            </w:pPr>
            <w:r>
              <w:rPr>
                <w:rFonts w:cs="Arial"/>
                <w:sz w:val="20"/>
                <w:szCs w:val="20"/>
                <w:lang w:eastAsia="en-AU" w:bidi="ar-SA"/>
              </w:rPr>
              <w:t>0.61</w:t>
            </w:r>
          </w:p>
        </w:tc>
        <w:tc>
          <w:tcPr>
            <w:tcW w:w="1134" w:type="dxa"/>
            <w:tcBorders>
              <w:top w:val="single" w:sz="4" w:space="0" w:color="auto"/>
              <w:left w:val="nil"/>
              <w:bottom w:val="single" w:sz="4" w:space="0" w:color="auto"/>
              <w:right w:val="nil"/>
            </w:tcBorders>
          </w:tcPr>
          <w:p w:rsidR="0097394F" w:rsidRPr="003B5F2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0.61</w:t>
            </w:r>
          </w:p>
        </w:tc>
        <w:tc>
          <w:tcPr>
            <w:tcW w:w="1417" w:type="dxa"/>
            <w:tcBorders>
              <w:top w:val="single" w:sz="4" w:space="0" w:color="auto"/>
              <w:left w:val="nil"/>
              <w:bottom w:val="single" w:sz="4" w:space="0" w:color="auto"/>
              <w:right w:val="nil"/>
            </w:tcBorders>
          </w:tcPr>
          <w:p w:rsidR="0097394F" w:rsidRDefault="00342C5B" w:rsidP="0076178E">
            <w:pPr>
              <w:tabs>
                <w:tab w:val="left" w:pos="3600"/>
              </w:tabs>
              <w:spacing w:before="40" w:after="40"/>
              <w:jc w:val="center"/>
              <w:rPr>
                <w:rFonts w:cs="Arial"/>
                <w:sz w:val="20"/>
                <w:szCs w:val="20"/>
                <w:lang w:eastAsia="en-AU" w:bidi="ar-SA"/>
              </w:rPr>
            </w:pPr>
            <w:r>
              <w:rPr>
                <w:rFonts w:cs="Arial"/>
                <w:sz w:val="20"/>
                <w:szCs w:val="20"/>
                <w:lang w:eastAsia="en-AU" w:bidi="ar-SA"/>
              </w:rPr>
              <w:t>5.12</w:t>
            </w:r>
          </w:p>
        </w:tc>
        <w:tc>
          <w:tcPr>
            <w:tcW w:w="1111" w:type="dxa"/>
            <w:tcBorders>
              <w:top w:val="single" w:sz="4" w:space="0" w:color="auto"/>
              <w:left w:val="nil"/>
              <w:bottom w:val="single" w:sz="4" w:space="0" w:color="auto"/>
              <w:right w:val="nil"/>
            </w:tcBorders>
          </w:tcPr>
          <w:p w:rsidR="0097394F" w:rsidRDefault="007720F6" w:rsidP="0076178E">
            <w:pPr>
              <w:tabs>
                <w:tab w:val="left" w:pos="3600"/>
              </w:tabs>
              <w:spacing w:before="40" w:after="40"/>
              <w:jc w:val="center"/>
              <w:rPr>
                <w:rFonts w:cs="Arial"/>
                <w:sz w:val="20"/>
                <w:szCs w:val="20"/>
                <w:lang w:eastAsia="en-AU" w:bidi="ar-SA"/>
              </w:rPr>
            </w:pPr>
            <w:r>
              <w:rPr>
                <w:rFonts w:cs="Arial"/>
                <w:sz w:val="20"/>
                <w:szCs w:val="20"/>
                <w:lang w:eastAsia="en-AU" w:bidi="ar-SA"/>
              </w:rPr>
              <w:t>8.37</w:t>
            </w:r>
          </w:p>
        </w:tc>
        <w:tc>
          <w:tcPr>
            <w:tcW w:w="1559" w:type="dxa"/>
            <w:tcBorders>
              <w:top w:val="single" w:sz="4" w:space="0" w:color="auto"/>
              <w:left w:val="nil"/>
              <w:bottom w:val="single" w:sz="4" w:space="0" w:color="auto"/>
              <w:right w:val="single" w:sz="4" w:space="0" w:color="auto"/>
            </w:tcBorders>
          </w:tcPr>
          <w:p w:rsidR="0097394F" w:rsidRPr="003B5F2F" w:rsidRDefault="0097394F" w:rsidP="0076178E">
            <w:pPr>
              <w:tabs>
                <w:tab w:val="left" w:pos="3600"/>
              </w:tabs>
              <w:spacing w:before="40" w:after="40"/>
              <w:jc w:val="center"/>
              <w:rPr>
                <w:rFonts w:cs="Arial"/>
                <w:sz w:val="20"/>
                <w:szCs w:val="20"/>
                <w:lang w:eastAsia="en-AU" w:bidi="ar-SA"/>
              </w:rPr>
            </w:pPr>
            <w:r>
              <w:rPr>
                <w:rFonts w:cs="Arial"/>
                <w:sz w:val="20"/>
                <w:szCs w:val="20"/>
                <w:lang w:eastAsia="en-AU" w:bidi="ar-SA"/>
              </w:rPr>
              <w:t>12.7</w:t>
            </w: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D00C3A" w:rsidRPr="003B5F2F" w:rsidRDefault="00D00C3A" w:rsidP="0076178E">
            <w:pPr>
              <w:tabs>
                <w:tab w:val="left" w:pos="3600"/>
              </w:tabs>
              <w:spacing w:before="40" w:after="40"/>
              <w:rPr>
                <w:rFonts w:cs="Arial"/>
                <w:sz w:val="20"/>
                <w:szCs w:val="20"/>
                <w:lang w:eastAsia="en-AU" w:bidi="ar-SA"/>
              </w:rPr>
            </w:pPr>
          </w:p>
        </w:tc>
        <w:tc>
          <w:tcPr>
            <w:tcW w:w="1441" w:type="dxa"/>
            <w:tcBorders>
              <w:top w:val="single" w:sz="4" w:space="0" w:color="auto"/>
              <w:left w:val="nil"/>
              <w:bottom w:val="single" w:sz="4" w:space="0" w:color="auto"/>
              <w:right w:val="nil"/>
            </w:tcBorders>
          </w:tcPr>
          <w:p w:rsidR="00D00C3A" w:rsidRDefault="00D00C3A" w:rsidP="0076178E">
            <w:pPr>
              <w:tabs>
                <w:tab w:val="left" w:pos="3600"/>
              </w:tabs>
              <w:spacing w:before="40" w:after="40"/>
              <w:jc w:val="center"/>
              <w:rPr>
                <w:rFonts w:cs="Arial"/>
                <w:sz w:val="20"/>
                <w:szCs w:val="20"/>
                <w:lang w:eastAsia="en-AU" w:bidi="ar-SA"/>
              </w:rPr>
            </w:pPr>
          </w:p>
        </w:tc>
        <w:tc>
          <w:tcPr>
            <w:tcW w:w="1275" w:type="dxa"/>
            <w:tcBorders>
              <w:top w:val="single" w:sz="4" w:space="0" w:color="auto"/>
              <w:left w:val="nil"/>
              <w:bottom w:val="single" w:sz="4" w:space="0" w:color="auto"/>
              <w:right w:val="nil"/>
            </w:tcBorders>
          </w:tcPr>
          <w:p w:rsidR="00D00C3A" w:rsidRDefault="00D00C3A" w:rsidP="0076178E">
            <w:pPr>
              <w:tabs>
                <w:tab w:val="left" w:pos="3600"/>
              </w:tabs>
              <w:spacing w:before="40" w:after="40"/>
              <w:jc w:val="center"/>
              <w:rPr>
                <w:rFonts w:cs="Arial"/>
                <w:sz w:val="20"/>
                <w:szCs w:val="20"/>
                <w:lang w:eastAsia="en-AU" w:bidi="ar-SA"/>
              </w:rPr>
            </w:pPr>
          </w:p>
        </w:tc>
        <w:tc>
          <w:tcPr>
            <w:tcW w:w="1276" w:type="dxa"/>
            <w:tcBorders>
              <w:top w:val="single" w:sz="4" w:space="0" w:color="auto"/>
              <w:left w:val="nil"/>
              <w:bottom w:val="single" w:sz="4" w:space="0" w:color="auto"/>
              <w:right w:val="nil"/>
            </w:tcBorders>
          </w:tcPr>
          <w:p w:rsidR="00D00C3A" w:rsidRPr="003B5F2F" w:rsidRDefault="00D00C3A" w:rsidP="0076178E">
            <w:pPr>
              <w:tabs>
                <w:tab w:val="left" w:pos="3600"/>
              </w:tabs>
              <w:spacing w:before="40" w:after="40"/>
              <w:jc w:val="center"/>
              <w:rPr>
                <w:rFonts w:cs="Arial"/>
                <w:sz w:val="20"/>
                <w:szCs w:val="20"/>
                <w:lang w:eastAsia="en-AU" w:bidi="ar-SA"/>
              </w:rPr>
            </w:pPr>
          </w:p>
        </w:tc>
        <w:tc>
          <w:tcPr>
            <w:tcW w:w="1418" w:type="dxa"/>
            <w:tcBorders>
              <w:top w:val="single" w:sz="4" w:space="0" w:color="auto"/>
              <w:left w:val="nil"/>
              <w:bottom w:val="single" w:sz="4" w:space="0" w:color="auto"/>
              <w:right w:val="nil"/>
            </w:tcBorders>
          </w:tcPr>
          <w:p w:rsidR="00D00C3A" w:rsidRPr="003B5F2F" w:rsidRDefault="00D00C3A" w:rsidP="0076178E">
            <w:pPr>
              <w:tabs>
                <w:tab w:val="left" w:pos="3600"/>
              </w:tabs>
              <w:spacing w:before="40" w:after="40"/>
              <w:jc w:val="center"/>
              <w:rPr>
                <w:rFonts w:cs="Arial"/>
                <w:sz w:val="20"/>
                <w:szCs w:val="20"/>
                <w:lang w:eastAsia="en-AU" w:bidi="ar-SA"/>
              </w:rPr>
            </w:pPr>
          </w:p>
        </w:tc>
        <w:tc>
          <w:tcPr>
            <w:tcW w:w="1134" w:type="dxa"/>
            <w:tcBorders>
              <w:top w:val="single" w:sz="4" w:space="0" w:color="auto"/>
              <w:left w:val="nil"/>
              <w:bottom w:val="single" w:sz="4" w:space="0" w:color="auto"/>
              <w:right w:val="nil"/>
            </w:tcBorders>
          </w:tcPr>
          <w:p w:rsidR="00D00C3A" w:rsidRPr="003B5F2F" w:rsidRDefault="00D00C3A" w:rsidP="0076178E">
            <w:pPr>
              <w:tabs>
                <w:tab w:val="left" w:pos="3600"/>
              </w:tabs>
              <w:spacing w:before="40" w:after="40"/>
              <w:jc w:val="center"/>
              <w:rPr>
                <w:rFonts w:cs="Arial"/>
                <w:sz w:val="20"/>
                <w:szCs w:val="20"/>
                <w:lang w:eastAsia="en-AU" w:bidi="ar-SA"/>
              </w:rPr>
            </w:pPr>
          </w:p>
        </w:tc>
        <w:tc>
          <w:tcPr>
            <w:tcW w:w="1417" w:type="dxa"/>
            <w:tcBorders>
              <w:top w:val="single" w:sz="4" w:space="0" w:color="auto"/>
              <w:left w:val="nil"/>
              <w:bottom w:val="single" w:sz="4" w:space="0" w:color="auto"/>
              <w:right w:val="nil"/>
            </w:tcBorders>
          </w:tcPr>
          <w:p w:rsidR="00D00C3A" w:rsidRDefault="00D00C3A" w:rsidP="0076178E">
            <w:pPr>
              <w:tabs>
                <w:tab w:val="left" w:pos="3600"/>
              </w:tabs>
              <w:spacing w:before="40" w:after="40"/>
              <w:jc w:val="center"/>
              <w:rPr>
                <w:rFonts w:cs="Arial"/>
                <w:sz w:val="20"/>
                <w:szCs w:val="20"/>
                <w:lang w:eastAsia="en-AU" w:bidi="ar-SA"/>
              </w:rPr>
            </w:pPr>
          </w:p>
        </w:tc>
        <w:tc>
          <w:tcPr>
            <w:tcW w:w="1111" w:type="dxa"/>
            <w:tcBorders>
              <w:top w:val="single" w:sz="4" w:space="0" w:color="auto"/>
              <w:left w:val="nil"/>
              <w:bottom w:val="single" w:sz="4" w:space="0" w:color="auto"/>
              <w:right w:val="nil"/>
            </w:tcBorders>
          </w:tcPr>
          <w:p w:rsidR="00D00C3A" w:rsidRDefault="00D00C3A" w:rsidP="0076178E">
            <w:pPr>
              <w:tabs>
                <w:tab w:val="left" w:pos="3600"/>
              </w:tabs>
              <w:spacing w:before="40" w:after="40"/>
              <w:jc w:val="center"/>
              <w:rPr>
                <w:rFonts w:cs="Arial"/>
                <w:sz w:val="20"/>
                <w:szCs w:val="20"/>
                <w:lang w:eastAsia="en-AU" w:bidi="ar-SA"/>
              </w:rPr>
            </w:pPr>
          </w:p>
        </w:tc>
        <w:tc>
          <w:tcPr>
            <w:tcW w:w="1559" w:type="dxa"/>
            <w:tcBorders>
              <w:top w:val="single" w:sz="4" w:space="0" w:color="auto"/>
              <w:left w:val="nil"/>
              <w:bottom w:val="single" w:sz="4" w:space="0" w:color="auto"/>
              <w:right w:val="single" w:sz="4" w:space="0" w:color="auto"/>
            </w:tcBorders>
          </w:tcPr>
          <w:p w:rsidR="00D00C3A" w:rsidRDefault="00D00C3A" w:rsidP="0076178E">
            <w:pPr>
              <w:tabs>
                <w:tab w:val="left" w:pos="3600"/>
              </w:tabs>
              <w:spacing w:before="40" w:after="40"/>
              <w:jc w:val="center"/>
              <w:rPr>
                <w:rFonts w:cs="Arial"/>
                <w:sz w:val="20"/>
                <w:szCs w:val="20"/>
                <w:lang w:eastAsia="en-AU" w:bidi="ar-SA"/>
              </w:rPr>
            </w:pP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F91273" w:rsidRPr="00C46C9B" w:rsidRDefault="00F91273" w:rsidP="00C46C9B">
            <w:pPr>
              <w:tabs>
                <w:tab w:val="left" w:pos="3600"/>
              </w:tabs>
              <w:spacing w:before="40" w:after="40"/>
              <w:jc w:val="right"/>
              <w:rPr>
                <w:rFonts w:cs="Arial"/>
                <w:i/>
                <w:sz w:val="20"/>
                <w:szCs w:val="20"/>
                <w:lang w:eastAsia="en-AU" w:bidi="ar-SA"/>
              </w:rPr>
            </w:pPr>
            <w:r w:rsidRPr="00C46C9B">
              <w:rPr>
                <w:rFonts w:cs="Arial"/>
                <w:i/>
                <w:sz w:val="20"/>
                <w:szCs w:val="20"/>
                <w:lang w:eastAsia="en-AU" w:bidi="ar-SA"/>
              </w:rPr>
              <w:t>Minimum</w:t>
            </w:r>
          </w:p>
        </w:tc>
        <w:tc>
          <w:tcPr>
            <w:tcW w:w="1441" w:type="dxa"/>
            <w:tcBorders>
              <w:top w:val="single" w:sz="4" w:space="0" w:color="auto"/>
              <w:left w:val="nil"/>
              <w:bottom w:val="single" w:sz="4" w:space="0" w:color="auto"/>
              <w:right w:val="nil"/>
            </w:tcBorders>
          </w:tcPr>
          <w:p w:rsidR="00F91273" w:rsidRPr="00F91273" w:rsidRDefault="001A38E3" w:rsidP="0076178E">
            <w:pPr>
              <w:tabs>
                <w:tab w:val="left" w:pos="3600"/>
              </w:tabs>
              <w:spacing w:before="40" w:after="40"/>
              <w:jc w:val="center"/>
              <w:rPr>
                <w:rFonts w:cs="Arial"/>
                <w:sz w:val="20"/>
                <w:szCs w:val="20"/>
                <w:lang w:eastAsia="en-AU" w:bidi="ar-SA"/>
              </w:rPr>
            </w:pPr>
            <w:r>
              <w:rPr>
                <w:rFonts w:cs="Arial"/>
                <w:sz w:val="20"/>
                <w:szCs w:val="20"/>
                <w:lang w:eastAsia="en-AU" w:bidi="ar-SA"/>
              </w:rPr>
              <w:t>3.4</w:t>
            </w:r>
          </w:p>
        </w:tc>
        <w:tc>
          <w:tcPr>
            <w:tcW w:w="1275"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0.12</w:t>
            </w:r>
          </w:p>
        </w:tc>
        <w:tc>
          <w:tcPr>
            <w:tcW w:w="1276"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0.07</w:t>
            </w:r>
          </w:p>
        </w:tc>
        <w:tc>
          <w:tcPr>
            <w:tcW w:w="1418"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0.61</w:t>
            </w:r>
          </w:p>
        </w:tc>
        <w:tc>
          <w:tcPr>
            <w:tcW w:w="1134"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0.61</w:t>
            </w:r>
          </w:p>
        </w:tc>
        <w:tc>
          <w:tcPr>
            <w:tcW w:w="1417"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5.12</w:t>
            </w:r>
          </w:p>
        </w:tc>
        <w:tc>
          <w:tcPr>
            <w:tcW w:w="1111"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1.76</w:t>
            </w:r>
          </w:p>
        </w:tc>
        <w:tc>
          <w:tcPr>
            <w:tcW w:w="1559" w:type="dxa"/>
            <w:tcBorders>
              <w:top w:val="single" w:sz="4" w:space="0" w:color="auto"/>
              <w:left w:val="nil"/>
              <w:bottom w:val="single" w:sz="4" w:space="0" w:color="auto"/>
              <w:right w:val="single" w:sz="4" w:space="0" w:color="auto"/>
            </w:tcBorders>
          </w:tcPr>
          <w:p w:rsidR="00F91273" w:rsidRPr="00F91273" w:rsidRDefault="00D64089" w:rsidP="0076178E">
            <w:pPr>
              <w:tabs>
                <w:tab w:val="left" w:pos="3600"/>
              </w:tabs>
              <w:spacing w:before="40" w:after="40"/>
              <w:jc w:val="center"/>
              <w:rPr>
                <w:rFonts w:cs="Arial"/>
                <w:sz w:val="20"/>
                <w:szCs w:val="20"/>
                <w:lang w:eastAsia="en-AU" w:bidi="ar-SA"/>
              </w:rPr>
            </w:pPr>
            <w:r>
              <w:rPr>
                <w:rFonts w:cs="Arial"/>
                <w:sz w:val="20"/>
                <w:szCs w:val="20"/>
                <w:lang w:eastAsia="en-AU" w:bidi="ar-SA"/>
              </w:rPr>
              <w:t>2.6</w:t>
            </w: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F91273" w:rsidRPr="00C46C9B" w:rsidRDefault="00F91273" w:rsidP="00C46C9B">
            <w:pPr>
              <w:tabs>
                <w:tab w:val="left" w:pos="3600"/>
              </w:tabs>
              <w:spacing w:before="40" w:after="40"/>
              <w:jc w:val="right"/>
              <w:rPr>
                <w:rFonts w:cs="Arial"/>
                <w:i/>
                <w:sz w:val="20"/>
                <w:szCs w:val="20"/>
                <w:lang w:eastAsia="en-AU" w:bidi="ar-SA"/>
              </w:rPr>
            </w:pPr>
            <w:r w:rsidRPr="00C46C9B">
              <w:rPr>
                <w:rFonts w:cs="Arial"/>
                <w:i/>
                <w:sz w:val="20"/>
                <w:szCs w:val="20"/>
                <w:lang w:eastAsia="en-AU" w:bidi="ar-SA"/>
              </w:rPr>
              <w:t>Maximum</w:t>
            </w:r>
          </w:p>
        </w:tc>
        <w:tc>
          <w:tcPr>
            <w:tcW w:w="1441" w:type="dxa"/>
            <w:tcBorders>
              <w:top w:val="single" w:sz="4" w:space="0" w:color="auto"/>
              <w:left w:val="nil"/>
              <w:bottom w:val="single" w:sz="4" w:space="0" w:color="auto"/>
              <w:right w:val="nil"/>
            </w:tcBorders>
          </w:tcPr>
          <w:p w:rsidR="00F91273" w:rsidRPr="00F91273" w:rsidRDefault="001A38E3" w:rsidP="0076178E">
            <w:pPr>
              <w:tabs>
                <w:tab w:val="left" w:pos="3600"/>
              </w:tabs>
              <w:spacing w:before="40" w:after="40"/>
              <w:jc w:val="center"/>
              <w:rPr>
                <w:rFonts w:cs="Arial"/>
                <w:sz w:val="20"/>
                <w:szCs w:val="20"/>
                <w:lang w:eastAsia="en-AU" w:bidi="ar-SA"/>
              </w:rPr>
            </w:pPr>
            <w:r>
              <w:rPr>
                <w:rFonts w:cs="Arial"/>
                <w:sz w:val="20"/>
                <w:szCs w:val="20"/>
                <w:lang w:eastAsia="en-AU" w:bidi="ar-SA"/>
              </w:rPr>
              <w:t>12.7</w:t>
            </w:r>
          </w:p>
        </w:tc>
        <w:tc>
          <w:tcPr>
            <w:tcW w:w="1275"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0.34</w:t>
            </w:r>
          </w:p>
        </w:tc>
        <w:tc>
          <w:tcPr>
            <w:tcW w:w="1276"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1.09</w:t>
            </w:r>
          </w:p>
        </w:tc>
        <w:tc>
          <w:tcPr>
            <w:tcW w:w="1418"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2.88</w:t>
            </w:r>
          </w:p>
        </w:tc>
        <w:tc>
          <w:tcPr>
            <w:tcW w:w="1134"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3.22</w:t>
            </w:r>
          </w:p>
        </w:tc>
        <w:tc>
          <w:tcPr>
            <w:tcW w:w="1417"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13.38</w:t>
            </w:r>
          </w:p>
        </w:tc>
        <w:tc>
          <w:tcPr>
            <w:tcW w:w="1111"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13.54</w:t>
            </w:r>
          </w:p>
        </w:tc>
        <w:tc>
          <w:tcPr>
            <w:tcW w:w="1559" w:type="dxa"/>
            <w:tcBorders>
              <w:top w:val="single" w:sz="4" w:space="0" w:color="auto"/>
              <w:left w:val="nil"/>
              <w:bottom w:val="single" w:sz="4" w:space="0" w:color="auto"/>
              <w:right w:val="single" w:sz="4" w:space="0" w:color="auto"/>
            </w:tcBorders>
          </w:tcPr>
          <w:p w:rsidR="00F91273" w:rsidRPr="00F91273" w:rsidRDefault="00D64089" w:rsidP="0076178E">
            <w:pPr>
              <w:tabs>
                <w:tab w:val="left" w:pos="3600"/>
              </w:tabs>
              <w:spacing w:before="40" w:after="40"/>
              <w:jc w:val="center"/>
              <w:rPr>
                <w:rFonts w:cs="Arial"/>
                <w:sz w:val="20"/>
                <w:szCs w:val="20"/>
                <w:lang w:eastAsia="en-AU" w:bidi="ar-SA"/>
              </w:rPr>
            </w:pPr>
            <w:r>
              <w:rPr>
                <w:rFonts w:cs="Arial"/>
                <w:sz w:val="20"/>
                <w:szCs w:val="20"/>
                <w:lang w:eastAsia="en-AU" w:bidi="ar-SA"/>
              </w:rPr>
              <w:t>12.7</w:t>
            </w: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F91273" w:rsidRPr="00C46C9B" w:rsidRDefault="00F91273" w:rsidP="00C46C9B">
            <w:pPr>
              <w:tabs>
                <w:tab w:val="left" w:pos="3600"/>
              </w:tabs>
              <w:spacing w:before="40" w:after="40"/>
              <w:jc w:val="right"/>
              <w:rPr>
                <w:rFonts w:cs="Arial"/>
                <w:i/>
                <w:sz w:val="20"/>
                <w:szCs w:val="20"/>
                <w:lang w:eastAsia="en-AU" w:bidi="ar-SA"/>
              </w:rPr>
            </w:pPr>
            <w:r w:rsidRPr="00C46C9B">
              <w:rPr>
                <w:rFonts w:cs="Arial"/>
                <w:i/>
                <w:sz w:val="20"/>
                <w:szCs w:val="20"/>
                <w:lang w:eastAsia="en-AU" w:bidi="ar-SA"/>
              </w:rPr>
              <w:t>Mean</w:t>
            </w:r>
          </w:p>
        </w:tc>
        <w:tc>
          <w:tcPr>
            <w:tcW w:w="1441" w:type="dxa"/>
            <w:tcBorders>
              <w:top w:val="single" w:sz="4" w:space="0" w:color="auto"/>
              <w:left w:val="nil"/>
              <w:bottom w:val="single" w:sz="4" w:space="0" w:color="auto"/>
              <w:right w:val="nil"/>
            </w:tcBorders>
          </w:tcPr>
          <w:p w:rsidR="00F91273" w:rsidRPr="00F91273" w:rsidRDefault="001A38E3" w:rsidP="0076178E">
            <w:pPr>
              <w:tabs>
                <w:tab w:val="left" w:pos="3600"/>
              </w:tabs>
              <w:spacing w:before="40" w:after="40"/>
              <w:jc w:val="center"/>
              <w:rPr>
                <w:rFonts w:cs="Arial"/>
                <w:sz w:val="20"/>
                <w:szCs w:val="20"/>
                <w:lang w:eastAsia="en-AU" w:bidi="ar-SA"/>
              </w:rPr>
            </w:pPr>
            <w:r>
              <w:rPr>
                <w:rFonts w:cs="Arial"/>
                <w:sz w:val="20"/>
                <w:szCs w:val="20"/>
                <w:lang w:eastAsia="en-AU" w:bidi="ar-SA"/>
              </w:rPr>
              <w:t>6.7</w:t>
            </w:r>
          </w:p>
        </w:tc>
        <w:tc>
          <w:tcPr>
            <w:tcW w:w="1275"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0.22</w:t>
            </w:r>
          </w:p>
        </w:tc>
        <w:tc>
          <w:tcPr>
            <w:tcW w:w="1276"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0.34</w:t>
            </w:r>
          </w:p>
        </w:tc>
        <w:tc>
          <w:tcPr>
            <w:tcW w:w="1418"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2.13</w:t>
            </w:r>
          </w:p>
        </w:tc>
        <w:tc>
          <w:tcPr>
            <w:tcW w:w="1134"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1.43</w:t>
            </w:r>
          </w:p>
        </w:tc>
        <w:tc>
          <w:tcPr>
            <w:tcW w:w="1417"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9.52</w:t>
            </w:r>
          </w:p>
        </w:tc>
        <w:tc>
          <w:tcPr>
            <w:tcW w:w="1111"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7.72</w:t>
            </w:r>
          </w:p>
        </w:tc>
        <w:tc>
          <w:tcPr>
            <w:tcW w:w="1559" w:type="dxa"/>
            <w:tcBorders>
              <w:top w:val="single" w:sz="4" w:space="0" w:color="auto"/>
              <w:left w:val="nil"/>
              <w:bottom w:val="single" w:sz="4" w:space="0" w:color="auto"/>
              <w:right w:val="single" w:sz="4" w:space="0" w:color="auto"/>
            </w:tcBorders>
          </w:tcPr>
          <w:p w:rsidR="00F91273" w:rsidRPr="00F91273" w:rsidRDefault="00EB63AA" w:rsidP="0076178E">
            <w:pPr>
              <w:tabs>
                <w:tab w:val="left" w:pos="3600"/>
              </w:tabs>
              <w:spacing w:before="40" w:after="40"/>
              <w:jc w:val="center"/>
              <w:rPr>
                <w:rFonts w:cs="Arial"/>
                <w:sz w:val="20"/>
                <w:szCs w:val="20"/>
                <w:lang w:eastAsia="en-AU" w:bidi="ar-SA"/>
              </w:rPr>
            </w:pPr>
            <w:r>
              <w:rPr>
                <w:rFonts w:cs="Arial"/>
                <w:sz w:val="20"/>
                <w:szCs w:val="20"/>
                <w:lang w:eastAsia="en-AU" w:bidi="ar-SA"/>
              </w:rPr>
              <w:t>7.0</w:t>
            </w: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F91273" w:rsidRPr="00C46C9B" w:rsidRDefault="00F91273" w:rsidP="00C46C9B">
            <w:pPr>
              <w:tabs>
                <w:tab w:val="left" w:pos="3600"/>
              </w:tabs>
              <w:spacing w:before="40" w:after="40"/>
              <w:jc w:val="right"/>
              <w:rPr>
                <w:rFonts w:cs="Arial"/>
                <w:i/>
                <w:sz w:val="20"/>
                <w:szCs w:val="20"/>
                <w:lang w:eastAsia="en-AU" w:bidi="ar-SA"/>
              </w:rPr>
            </w:pPr>
            <w:r w:rsidRPr="00C46C9B">
              <w:rPr>
                <w:rFonts w:cs="Arial"/>
                <w:i/>
                <w:sz w:val="20"/>
                <w:szCs w:val="20"/>
                <w:lang w:eastAsia="en-AU" w:bidi="ar-SA"/>
              </w:rPr>
              <w:t>Standard deviation</w:t>
            </w:r>
          </w:p>
        </w:tc>
        <w:tc>
          <w:tcPr>
            <w:tcW w:w="1441" w:type="dxa"/>
            <w:tcBorders>
              <w:top w:val="single" w:sz="4" w:space="0" w:color="auto"/>
              <w:left w:val="nil"/>
              <w:bottom w:val="single" w:sz="4" w:space="0" w:color="auto"/>
              <w:right w:val="nil"/>
            </w:tcBorders>
            <w:vAlign w:val="center"/>
          </w:tcPr>
          <w:p w:rsidR="00F91273" w:rsidRPr="00F91273" w:rsidRDefault="001A38E3">
            <w:pPr>
              <w:tabs>
                <w:tab w:val="left" w:pos="3600"/>
              </w:tabs>
              <w:spacing w:before="40" w:after="40"/>
              <w:jc w:val="center"/>
              <w:rPr>
                <w:rFonts w:cs="Arial"/>
                <w:sz w:val="20"/>
                <w:szCs w:val="20"/>
                <w:lang w:eastAsia="en-AU" w:bidi="ar-SA"/>
              </w:rPr>
            </w:pPr>
            <w:r>
              <w:rPr>
                <w:rFonts w:cs="Arial"/>
                <w:sz w:val="20"/>
                <w:szCs w:val="20"/>
                <w:lang w:eastAsia="en-AU" w:bidi="ar-SA"/>
              </w:rPr>
              <w:t>3.0</w:t>
            </w:r>
          </w:p>
        </w:tc>
        <w:tc>
          <w:tcPr>
            <w:tcW w:w="1275" w:type="dxa"/>
            <w:tcBorders>
              <w:top w:val="single" w:sz="4" w:space="0" w:color="auto"/>
              <w:left w:val="nil"/>
              <w:bottom w:val="single" w:sz="4" w:space="0" w:color="auto"/>
              <w:right w:val="nil"/>
            </w:tcBorders>
            <w:vAlign w:val="center"/>
          </w:tcPr>
          <w:p w:rsidR="00F91273" w:rsidRPr="00F91273" w:rsidRDefault="00F91273">
            <w:pPr>
              <w:tabs>
                <w:tab w:val="left" w:pos="3600"/>
              </w:tabs>
              <w:spacing w:before="40" w:after="40"/>
              <w:jc w:val="center"/>
              <w:rPr>
                <w:rFonts w:cs="Arial"/>
                <w:sz w:val="20"/>
                <w:szCs w:val="20"/>
                <w:lang w:eastAsia="en-AU" w:bidi="ar-SA"/>
              </w:rPr>
            </w:pPr>
            <w:r w:rsidRPr="00C46C9B">
              <w:rPr>
                <w:rFonts w:cs="Arial"/>
                <w:color w:val="000000"/>
                <w:sz w:val="20"/>
                <w:szCs w:val="20"/>
              </w:rPr>
              <w:t>0.06</w:t>
            </w:r>
          </w:p>
        </w:tc>
        <w:tc>
          <w:tcPr>
            <w:tcW w:w="1276" w:type="dxa"/>
            <w:tcBorders>
              <w:top w:val="single" w:sz="4" w:space="0" w:color="auto"/>
              <w:left w:val="nil"/>
              <w:bottom w:val="single" w:sz="4" w:space="0" w:color="auto"/>
              <w:right w:val="nil"/>
            </w:tcBorders>
            <w:vAlign w:val="center"/>
          </w:tcPr>
          <w:p w:rsidR="00F91273" w:rsidRPr="00F91273" w:rsidRDefault="00F91273">
            <w:pPr>
              <w:tabs>
                <w:tab w:val="left" w:pos="3600"/>
              </w:tabs>
              <w:spacing w:before="40" w:after="40"/>
              <w:jc w:val="center"/>
              <w:rPr>
                <w:rFonts w:cs="Arial"/>
                <w:sz w:val="20"/>
                <w:szCs w:val="20"/>
                <w:lang w:eastAsia="en-AU" w:bidi="ar-SA"/>
              </w:rPr>
            </w:pPr>
            <w:r w:rsidRPr="00C46C9B">
              <w:rPr>
                <w:rFonts w:cs="Arial"/>
                <w:color w:val="000000"/>
                <w:sz w:val="20"/>
                <w:szCs w:val="20"/>
              </w:rPr>
              <w:t>0.23</w:t>
            </w:r>
          </w:p>
        </w:tc>
        <w:tc>
          <w:tcPr>
            <w:tcW w:w="1418" w:type="dxa"/>
            <w:tcBorders>
              <w:top w:val="single" w:sz="4" w:space="0" w:color="auto"/>
              <w:left w:val="nil"/>
              <w:bottom w:val="single" w:sz="4" w:space="0" w:color="auto"/>
              <w:right w:val="nil"/>
            </w:tcBorders>
            <w:vAlign w:val="center"/>
          </w:tcPr>
          <w:p w:rsidR="00F91273" w:rsidRPr="00F91273" w:rsidRDefault="00F91273">
            <w:pPr>
              <w:tabs>
                <w:tab w:val="left" w:pos="3600"/>
              </w:tabs>
              <w:spacing w:before="40" w:after="40"/>
              <w:jc w:val="center"/>
              <w:rPr>
                <w:rFonts w:cs="Arial"/>
                <w:sz w:val="20"/>
                <w:szCs w:val="20"/>
                <w:lang w:eastAsia="en-AU" w:bidi="ar-SA"/>
              </w:rPr>
            </w:pPr>
            <w:r w:rsidRPr="00C46C9B">
              <w:rPr>
                <w:rFonts w:cs="Arial"/>
                <w:color w:val="000000"/>
                <w:sz w:val="20"/>
                <w:szCs w:val="20"/>
              </w:rPr>
              <w:t>0.62</w:t>
            </w:r>
          </w:p>
        </w:tc>
        <w:tc>
          <w:tcPr>
            <w:tcW w:w="1134" w:type="dxa"/>
            <w:tcBorders>
              <w:top w:val="single" w:sz="4" w:space="0" w:color="auto"/>
              <w:left w:val="nil"/>
              <w:bottom w:val="single" w:sz="4" w:space="0" w:color="auto"/>
              <w:right w:val="nil"/>
            </w:tcBorders>
            <w:vAlign w:val="center"/>
          </w:tcPr>
          <w:p w:rsidR="00F91273" w:rsidRPr="00F91273" w:rsidRDefault="00F91273">
            <w:pPr>
              <w:tabs>
                <w:tab w:val="left" w:pos="3600"/>
              </w:tabs>
              <w:spacing w:before="40" w:after="40"/>
              <w:jc w:val="center"/>
              <w:rPr>
                <w:rFonts w:cs="Arial"/>
                <w:sz w:val="20"/>
                <w:szCs w:val="20"/>
                <w:lang w:eastAsia="en-AU" w:bidi="ar-SA"/>
              </w:rPr>
            </w:pPr>
            <w:r w:rsidRPr="00C46C9B">
              <w:rPr>
                <w:rFonts w:cs="Arial"/>
                <w:color w:val="000000"/>
                <w:sz w:val="20"/>
                <w:szCs w:val="20"/>
              </w:rPr>
              <w:t>0.63</w:t>
            </w:r>
          </w:p>
        </w:tc>
        <w:tc>
          <w:tcPr>
            <w:tcW w:w="1417" w:type="dxa"/>
            <w:tcBorders>
              <w:top w:val="single" w:sz="4" w:space="0" w:color="auto"/>
              <w:left w:val="nil"/>
              <w:bottom w:val="single" w:sz="4" w:space="0" w:color="auto"/>
              <w:right w:val="nil"/>
            </w:tcBorders>
            <w:vAlign w:val="center"/>
          </w:tcPr>
          <w:p w:rsidR="00F91273" w:rsidRPr="00F91273" w:rsidRDefault="00F91273">
            <w:pPr>
              <w:tabs>
                <w:tab w:val="left" w:pos="3600"/>
              </w:tabs>
              <w:spacing w:before="40" w:after="40"/>
              <w:jc w:val="center"/>
              <w:rPr>
                <w:rFonts w:cs="Arial"/>
                <w:sz w:val="20"/>
                <w:szCs w:val="20"/>
                <w:lang w:eastAsia="en-AU" w:bidi="ar-SA"/>
              </w:rPr>
            </w:pPr>
            <w:r w:rsidRPr="00C46C9B">
              <w:rPr>
                <w:rFonts w:cs="Arial"/>
                <w:color w:val="000000"/>
                <w:sz w:val="20"/>
                <w:szCs w:val="20"/>
              </w:rPr>
              <w:t>2.14</w:t>
            </w:r>
          </w:p>
        </w:tc>
        <w:tc>
          <w:tcPr>
            <w:tcW w:w="1111" w:type="dxa"/>
            <w:tcBorders>
              <w:top w:val="single" w:sz="4" w:space="0" w:color="auto"/>
              <w:left w:val="nil"/>
              <w:bottom w:val="single" w:sz="4" w:space="0" w:color="auto"/>
              <w:right w:val="nil"/>
            </w:tcBorders>
            <w:vAlign w:val="center"/>
          </w:tcPr>
          <w:p w:rsidR="00F91273" w:rsidRPr="00F91273" w:rsidRDefault="00F91273">
            <w:pPr>
              <w:tabs>
                <w:tab w:val="left" w:pos="3600"/>
              </w:tabs>
              <w:spacing w:before="40" w:after="40"/>
              <w:jc w:val="center"/>
              <w:rPr>
                <w:rFonts w:cs="Arial"/>
                <w:sz w:val="20"/>
                <w:szCs w:val="20"/>
                <w:lang w:eastAsia="en-AU" w:bidi="ar-SA"/>
              </w:rPr>
            </w:pPr>
            <w:r w:rsidRPr="00C46C9B">
              <w:rPr>
                <w:rFonts w:cs="Arial"/>
                <w:color w:val="000000"/>
                <w:sz w:val="20"/>
                <w:szCs w:val="20"/>
              </w:rPr>
              <w:t>3.11</w:t>
            </w:r>
          </w:p>
        </w:tc>
        <w:tc>
          <w:tcPr>
            <w:tcW w:w="1559" w:type="dxa"/>
            <w:tcBorders>
              <w:top w:val="single" w:sz="4" w:space="0" w:color="auto"/>
              <w:left w:val="nil"/>
              <w:bottom w:val="single" w:sz="4" w:space="0" w:color="auto"/>
              <w:right w:val="single" w:sz="4" w:space="0" w:color="auto"/>
            </w:tcBorders>
            <w:vAlign w:val="center"/>
          </w:tcPr>
          <w:p w:rsidR="00F91273" w:rsidRPr="00F91273" w:rsidRDefault="00EB63AA">
            <w:pPr>
              <w:tabs>
                <w:tab w:val="left" w:pos="3600"/>
              </w:tabs>
              <w:spacing w:before="40" w:after="40"/>
              <w:jc w:val="center"/>
              <w:rPr>
                <w:rFonts w:cs="Arial"/>
                <w:sz w:val="20"/>
                <w:szCs w:val="20"/>
                <w:lang w:eastAsia="en-AU" w:bidi="ar-SA"/>
              </w:rPr>
            </w:pPr>
            <w:r>
              <w:rPr>
                <w:rFonts w:cs="Arial"/>
                <w:sz w:val="20"/>
                <w:szCs w:val="20"/>
                <w:lang w:eastAsia="en-AU" w:bidi="ar-SA"/>
              </w:rPr>
              <w:t>3.3</w:t>
            </w:r>
          </w:p>
        </w:tc>
      </w:tr>
      <w:tr w:rsidR="00CA2F93" w:rsidTr="00C46C9B">
        <w:trPr>
          <w:cantSplit/>
        </w:trPr>
        <w:tc>
          <w:tcPr>
            <w:tcW w:w="1361" w:type="dxa"/>
            <w:tcBorders>
              <w:top w:val="single" w:sz="4" w:space="0" w:color="auto"/>
              <w:left w:val="single" w:sz="4" w:space="0" w:color="auto"/>
              <w:bottom w:val="single" w:sz="4" w:space="0" w:color="auto"/>
              <w:right w:val="nil"/>
            </w:tcBorders>
          </w:tcPr>
          <w:p w:rsidR="00F91273" w:rsidRPr="00C46C9B" w:rsidRDefault="00F91273" w:rsidP="00C46C9B">
            <w:pPr>
              <w:tabs>
                <w:tab w:val="left" w:pos="3600"/>
              </w:tabs>
              <w:spacing w:before="40" w:after="40"/>
              <w:jc w:val="right"/>
              <w:rPr>
                <w:rFonts w:cs="Arial"/>
                <w:i/>
                <w:sz w:val="20"/>
                <w:szCs w:val="20"/>
                <w:lang w:eastAsia="en-AU" w:bidi="ar-SA"/>
              </w:rPr>
            </w:pPr>
            <w:r w:rsidRPr="00C46C9B">
              <w:rPr>
                <w:rFonts w:cs="Arial"/>
                <w:i/>
                <w:sz w:val="20"/>
                <w:szCs w:val="20"/>
                <w:lang w:eastAsia="en-AU" w:bidi="ar-SA"/>
              </w:rPr>
              <w:t>RSD</w:t>
            </w:r>
          </w:p>
        </w:tc>
        <w:tc>
          <w:tcPr>
            <w:tcW w:w="1441" w:type="dxa"/>
            <w:tcBorders>
              <w:top w:val="single" w:sz="4" w:space="0" w:color="auto"/>
              <w:left w:val="nil"/>
              <w:bottom w:val="single" w:sz="4" w:space="0" w:color="auto"/>
              <w:right w:val="nil"/>
            </w:tcBorders>
          </w:tcPr>
          <w:p w:rsidR="00F91273" w:rsidRPr="00F91273" w:rsidRDefault="001A38E3" w:rsidP="0076178E">
            <w:pPr>
              <w:tabs>
                <w:tab w:val="left" w:pos="3600"/>
              </w:tabs>
              <w:spacing w:before="40" w:after="40"/>
              <w:jc w:val="center"/>
              <w:rPr>
                <w:rFonts w:cs="Arial"/>
                <w:sz w:val="20"/>
                <w:szCs w:val="20"/>
                <w:lang w:eastAsia="en-AU" w:bidi="ar-SA"/>
              </w:rPr>
            </w:pPr>
            <w:r>
              <w:rPr>
                <w:rFonts w:cs="Arial"/>
                <w:sz w:val="20"/>
                <w:szCs w:val="20"/>
                <w:lang w:eastAsia="en-AU" w:bidi="ar-SA"/>
              </w:rPr>
              <w:t>0.45</w:t>
            </w:r>
          </w:p>
        </w:tc>
        <w:tc>
          <w:tcPr>
            <w:tcW w:w="1275"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0.25</w:t>
            </w:r>
          </w:p>
        </w:tc>
        <w:tc>
          <w:tcPr>
            <w:tcW w:w="1276"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0.69</w:t>
            </w:r>
          </w:p>
        </w:tc>
        <w:tc>
          <w:tcPr>
            <w:tcW w:w="1418"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0.29</w:t>
            </w:r>
          </w:p>
        </w:tc>
        <w:tc>
          <w:tcPr>
            <w:tcW w:w="1134"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0.44</w:t>
            </w:r>
          </w:p>
        </w:tc>
        <w:tc>
          <w:tcPr>
            <w:tcW w:w="1417"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0.22</w:t>
            </w:r>
          </w:p>
        </w:tc>
        <w:tc>
          <w:tcPr>
            <w:tcW w:w="1111" w:type="dxa"/>
            <w:tcBorders>
              <w:top w:val="single" w:sz="4" w:space="0" w:color="auto"/>
              <w:left w:val="nil"/>
              <w:bottom w:val="single" w:sz="4" w:space="0" w:color="auto"/>
              <w:right w:val="nil"/>
            </w:tcBorders>
            <w:vAlign w:val="bottom"/>
          </w:tcPr>
          <w:p w:rsidR="00F91273" w:rsidRPr="00F91273" w:rsidRDefault="00F91273" w:rsidP="0076178E">
            <w:pPr>
              <w:tabs>
                <w:tab w:val="left" w:pos="3600"/>
              </w:tabs>
              <w:spacing w:before="40" w:after="40"/>
              <w:jc w:val="center"/>
              <w:rPr>
                <w:rFonts w:cs="Arial"/>
                <w:sz w:val="20"/>
                <w:szCs w:val="20"/>
                <w:lang w:eastAsia="en-AU" w:bidi="ar-SA"/>
              </w:rPr>
            </w:pPr>
            <w:r w:rsidRPr="00C46C9B">
              <w:rPr>
                <w:rFonts w:cs="Arial"/>
                <w:color w:val="000000"/>
                <w:sz w:val="20"/>
                <w:szCs w:val="20"/>
              </w:rPr>
              <w:t>0.40</w:t>
            </w:r>
          </w:p>
        </w:tc>
        <w:tc>
          <w:tcPr>
            <w:tcW w:w="1559" w:type="dxa"/>
            <w:tcBorders>
              <w:top w:val="single" w:sz="4" w:space="0" w:color="auto"/>
              <w:left w:val="nil"/>
              <w:bottom w:val="single" w:sz="4" w:space="0" w:color="auto"/>
              <w:right w:val="single" w:sz="4" w:space="0" w:color="auto"/>
            </w:tcBorders>
          </w:tcPr>
          <w:p w:rsidR="00F91273" w:rsidRPr="00F91273" w:rsidRDefault="00EB63AA" w:rsidP="0076178E">
            <w:pPr>
              <w:tabs>
                <w:tab w:val="left" w:pos="3600"/>
              </w:tabs>
              <w:spacing w:before="40" w:after="40"/>
              <w:jc w:val="center"/>
              <w:rPr>
                <w:rFonts w:cs="Arial"/>
                <w:sz w:val="20"/>
                <w:szCs w:val="20"/>
                <w:lang w:eastAsia="en-AU" w:bidi="ar-SA"/>
              </w:rPr>
            </w:pPr>
            <w:r>
              <w:rPr>
                <w:rFonts w:cs="Arial"/>
                <w:sz w:val="20"/>
                <w:szCs w:val="20"/>
                <w:lang w:eastAsia="en-AU" w:bidi="ar-SA"/>
              </w:rPr>
              <w:t>0.47</w:t>
            </w:r>
          </w:p>
        </w:tc>
      </w:tr>
    </w:tbl>
    <w:p w:rsidR="0097394F" w:rsidRPr="00C46C9B" w:rsidRDefault="0097394F" w:rsidP="00C46C9B">
      <w:pPr>
        <w:tabs>
          <w:tab w:val="left" w:pos="3600"/>
        </w:tabs>
        <w:rPr>
          <w:lang w:eastAsia="en-AU" w:bidi="ar-SA"/>
        </w:rPr>
      </w:pPr>
    </w:p>
    <w:sectPr w:rsidR="0097394F" w:rsidRPr="00C46C9B" w:rsidSect="00680F3A">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500F" w:rsidRDefault="001B500F">
      <w:r>
        <w:separator/>
      </w:r>
    </w:p>
  </w:endnote>
  <w:endnote w:type="continuationSeparator" w:id="0">
    <w:p w:rsidR="001B500F" w:rsidRDefault="001B5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00F" w:rsidRDefault="001B500F"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B500F" w:rsidRDefault="001B50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00F" w:rsidRDefault="001B500F" w:rsidP="001C27A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C28A5">
      <w:rPr>
        <w:rStyle w:val="PageNumber"/>
        <w:noProof/>
      </w:rPr>
      <w:t>i</w:t>
    </w:r>
    <w:r>
      <w:rPr>
        <w:rStyle w:val="PageNumber"/>
      </w:rPr>
      <w:fldChar w:fldCharType="end"/>
    </w:r>
  </w:p>
  <w:p w:rsidR="001B500F" w:rsidRDefault="001B500F">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A5" w:rsidRDefault="00CC28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500F" w:rsidRDefault="001B500F">
      <w:r>
        <w:separator/>
      </w:r>
    </w:p>
  </w:footnote>
  <w:footnote w:type="continuationSeparator" w:id="0">
    <w:p w:rsidR="001B500F" w:rsidRDefault="001B500F">
      <w:r>
        <w:continuationSeparator/>
      </w:r>
    </w:p>
  </w:footnote>
  <w:footnote w:id="1">
    <w:p w:rsidR="001B500F" w:rsidRDefault="001B500F" w:rsidP="0052174B">
      <w:pPr>
        <w:pStyle w:val="FootnoteText"/>
      </w:pPr>
      <w:r>
        <w:rPr>
          <w:rStyle w:val="FootnoteReference"/>
        </w:rPr>
        <w:footnoteRef/>
      </w:r>
      <w:r>
        <w:t xml:space="preserve"> The hyenanchin test substance was reported to be only 80% pure and contained an unspecified amount of dihydrohyenanchin. The hyenanchin sample was consistently more active when tested at identical concentrations compared to the dihydrohyenanchin sample. The presence of dihydrohyenanchin in the hyenanchin sample indicates that the potency of hyenanchin is slightly underestimated in these experiments.</w:t>
      </w:r>
    </w:p>
  </w:footnote>
  <w:footnote w:id="2">
    <w:p w:rsidR="001B500F" w:rsidRPr="00307A70" w:rsidRDefault="001B500F" w:rsidP="00307A70">
      <w:pPr>
        <w:pStyle w:val="Footnote"/>
        <w:rPr>
          <w:sz w:val="18"/>
          <w:lang w:val="en-AU"/>
        </w:rPr>
      </w:pPr>
      <w:r w:rsidRPr="00307A70">
        <w:rPr>
          <w:rStyle w:val="FootnoteReference"/>
          <w:sz w:val="18"/>
        </w:rPr>
        <w:footnoteRef/>
      </w:r>
      <w:r w:rsidRPr="00307A70">
        <w:rPr>
          <w:sz w:val="18"/>
        </w:rPr>
        <w:t xml:space="preserve"> </w:t>
      </w:r>
      <w:r w:rsidRPr="00307A70">
        <w:rPr>
          <w:sz w:val="18"/>
          <w:lang w:val="en-AU"/>
        </w:rPr>
        <w:t>Other numbering systems give 8-hydroxytutin or 9-hydroxytutin (Sutherland 1992).</w:t>
      </w:r>
    </w:p>
  </w:footnote>
  <w:footnote w:id="3">
    <w:p w:rsidR="001B500F" w:rsidRPr="00307A70" w:rsidRDefault="001B500F" w:rsidP="003A5531">
      <w:pPr>
        <w:pStyle w:val="FootnoteText"/>
        <w:rPr>
          <w:sz w:val="18"/>
          <w:lang w:val="en-AU"/>
        </w:rPr>
      </w:pPr>
      <w:r w:rsidRPr="00307A70">
        <w:rPr>
          <w:rStyle w:val="FootnoteReference"/>
          <w:sz w:val="18"/>
        </w:rPr>
        <w:footnoteRef/>
      </w:r>
      <w:r w:rsidRPr="00307A70">
        <w:rPr>
          <w:sz w:val="18"/>
        </w:rPr>
        <w:t xml:space="preserve"> It was stated that semi-purified hyenanchin (~84%) was further purified, however the final purity was not stated.</w:t>
      </w:r>
    </w:p>
  </w:footnote>
  <w:footnote w:id="4">
    <w:p w:rsidR="001B500F" w:rsidRPr="00307A70" w:rsidRDefault="001B500F" w:rsidP="003A5531">
      <w:pPr>
        <w:pStyle w:val="FootnoteText"/>
        <w:rPr>
          <w:sz w:val="18"/>
          <w:lang w:val="en-AU"/>
        </w:rPr>
      </w:pPr>
      <w:r w:rsidRPr="00307A70">
        <w:rPr>
          <w:rStyle w:val="FootnoteReference"/>
          <w:sz w:val="18"/>
        </w:rPr>
        <w:footnoteRef/>
      </w:r>
      <w:r w:rsidRPr="00307A70">
        <w:rPr>
          <w:sz w:val="18"/>
        </w:rPr>
        <w:t xml:space="preserve"> All doses tested were not presented in the report.</w:t>
      </w:r>
    </w:p>
  </w:footnote>
  <w:footnote w:id="5">
    <w:p w:rsidR="001B500F" w:rsidRPr="00307A70" w:rsidRDefault="001B500F" w:rsidP="003A5531">
      <w:pPr>
        <w:pStyle w:val="FootnoteText"/>
        <w:rPr>
          <w:sz w:val="18"/>
          <w:lang w:val="en-AU"/>
        </w:rPr>
      </w:pPr>
      <w:r w:rsidRPr="00307A70">
        <w:rPr>
          <w:rStyle w:val="FootnoteReference"/>
          <w:sz w:val="18"/>
        </w:rPr>
        <w:footnoteRef/>
      </w:r>
      <w:r w:rsidRPr="00307A70">
        <w:rPr>
          <w:sz w:val="18"/>
        </w:rPr>
        <w:t xml:space="preserve"> </w:t>
      </w:r>
      <w:r w:rsidRPr="00307A70">
        <w:rPr>
          <w:rFonts w:cs="Arial"/>
          <w:sz w:val="18"/>
        </w:rPr>
        <w:t>The number of mice dosed was only reported for the 300 mg/kg bw group (n = 3).</w:t>
      </w:r>
    </w:p>
  </w:footnote>
  <w:footnote w:id="6">
    <w:p w:rsidR="001B500F" w:rsidRPr="0070122B" w:rsidRDefault="001B500F">
      <w:pPr>
        <w:pStyle w:val="FootnoteText"/>
        <w:rPr>
          <w:lang w:val="en-AU"/>
        </w:rPr>
      </w:pPr>
      <w:r w:rsidRPr="00680F3A">
        <w:rPr>
          <w:rStyle w:val="FootnoteReference"/>
          <w:sz w:val="18"/>
        </w:rPr>
        <w:footnoteRef/>
      </w:r>
      <w:r w:rsidRPr="00680F3A">
        <w:rPr>
          <w:sz w:val="18"/>
        </w:rPr>
        <w:t xml:space="preserve"> Honey consumption data from a subsequent New Zealand adult nutrition survey (2008-09) indicated slightly lower honey consumption for 97.5</w:t>
      </w:r>
      <w:r w:rsidRPr="00680F3A">
        <w:rPr>
          <w:sz w:val="18"/>
          <w:vertAlign w:val="superscript"/>
        </w:rPr>
        <w:t>th</w:t>
      </w:r>
      <w:r w:rsidRPr="00680F3A">
        <w:rPr>
          <w:sz w:val="18"/>
        </w:rPr>
        <w:t xml:space="preserve"> percentile consumers aged 15 years and above: 0.8 g honey/kg bodyweight per day.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A5" w:rsidRDefault="00CC28A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28A5" w:rsidRDefault="00CC28A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500F" w:rsidRDefault="001B500F">
    <w:pPr>
      <w:pStyle w:val="Header"/>
      <w:jc w:val="center"/>
      <w:rPr>
        <w:b/>
        <w:bCs/>
      </w:rPr>
    </w:pPr>
    <w:r>
      <w:rPr>
        <w:b/>
        <w:bCs/>
      </w:rPr>
      <w:t>BOARD-IN-CONFIDENCE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816C3"/>
    <w:multiLevelType w:val="hybridMultilevel"/>
    <w:tmpl w:val="DA40736C"/>
    <w:lvl w:ilvl="0" w:tplc="6B5AB52C">
      <w:start w:val="1"/>
      <w:numFmt w:val="bullet"/>
      <w:pStyle w:val="FS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672843"/>
    <w:multiLevelType w:val="hybridMultilevel"/>
    <w:tmpl w:val="2CAC1AE4"/>
    <w:lvl w:ilvl="0" w:tplc="586A4F4A">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2963D77"/>
    <w:multiLevelType w:val="hybridMultilevel"/>
    <w:tmpl w:val="7632DC76"/>
    <w:lvl w:ilvl="0" w:tplc="AB405820">
      <w:start w:val="1"/>
      <w:numFmt w:val="bullet"/>
      <w:pStyle w:val="FSBullet3"/>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26054271"/>
    <w:multiLevelType w:val="hybridMultilevel"/>
    <w:tmpl w:val="7AC0B316"/>
    <w:lvl w:ilvl="0" w:tplc="FDFEA674">
      <w:start w:val="1"/>
      <w:numFmt w:val="bullet"/>
      <w:pStyle w:val="FSBullet1"/>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2B355A6E"/>
    <w:multiLevelType w:val="hybridMultilevel"/>
    <w:tmpl w:val="162605D4"/>
    <w:lvl w:ilvl="0" w:tplc="D2A8EC8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5E23B5C"/>
    <w:multiLevelType w:val="hybridMultilevel"/>
    <w:tmpl w:val="15E2C8B4"/>
    <w:lvl w:ilvl="0" w:tplc="B234E9C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525377A7"/>
    <w:multiLevelType w:val="hybridMultilevel"/>
    <w:tmpl w:val="25021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7AC951A6"/>
    <w:multiLevelType w:val="hybridMultilevel"/>
    <w:tmpl w:val="1E980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CBA3330"/>
    <w:multiLevelType w:val="multilevel"/>
    <w:tmpl w:val="BDA639F4"/>
    <w:lvl w:ilvl="0">
      <w:start w:val="1"/>
      <w:numFmt w:val="decimal"/>
      <w:lvlText w:val="%1."/>
      <w:lvlJc w:val="left"/>
      <w:pPr>
        <w:ind w:left="644" w:hanging="360"/>
      </w:pPr>
      <w:rPr>
        <w:rFonts w:hint="default"/>
      </w:rPr>
    </w:lvl>
    <w:lvl w:ilvl="1">
      <w:start w:val="1"/>
      <w:numFmt w:val="decimal"/>
      <w:isLgl/>
      <w:lvlText w:val="%1.%2"/>
      <w:lvlJc w:val="left"/>
      <w:pPr>
        <w:ind w:left="712" w:hanging="570"/>
      </w:pPr>
      <w:rPr>
        <w:rFonts w:hint="default"/>
      </w:rPr>
    </w:lvl>
    <w:lvl w:ilvl="2">
      <w:start w:val="4"/>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num w:numId="1">
    <w:abstractNumId w:val="0"/>
  </w:num>
  <w:num w:numId="2">
    <w:abstractNumId w:val="3"/>
  </w:num>
  <w:num w:numId="3">
    <w:abstractNumId w:val="5"/>
  </w:num>
  <w:num w:numId="4">
    <w:abstractNumId w:val="2"/>
  </w:num>
  <w:num w:numId="5">
    <w:abstractNumId w:val="4"/>
  </w:num>
  <w:num w:numId="6">
    <w:abstractNumId w:val="6"/>
  </w:num>
  <w:num w:numId="7">
    <w:abstractNumId w:val="8"/>
  </w:num>
  <w:num w:numId="8">
    <w:abstractNumId w:val="7"/>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342"/>
    <w:rsid w:val="000004E5"/>
    <w:rsid w:val="000017F5"/>
    <w:rsid w:val="00001CF2"/>
    <w:rsid w:val="0000247B"/>
    <w:rsid w:val="0000469B"/>
    <w:rsid w:val="00005E7D"/>
    <w:rsid w:val="00006EF5"/>
    <w:rsid w:val="00007DDB"/>
    <w:rsid w:val="00010D22"/>
    <w:rsid w:val="000162CC"/>
    <w:rsid w:val="000176B4"/>
    <w:rsid w:val="00017970"/>
    <w:rsid w:val="00020FD8"/>
    <w:rsid w:val="000229CC"/>
    <w:rsid w:val="0002406D"/>
    <w:rsid w:val="00024C14"/>
    <w:rsid w:val="0002563D"/>
    <w:rsid w:val="00026309"/>
    <w:rsid w:val="0002691C"/>
    <w:rsid w:val="0003127B"/>
    <w:rsid w:val="000312C9"/>
    <w:rsid w:val="00032992"/>
    <w:rsid w:val="00033820"/>
    <w:rsid w:val="00035FF3"/>
    <w:rsid w:val="000361E8"/>
    <w:rsid w:val="00036A42"/>
    <w:rsid w:val="000413E7"/>
    <w:rsid w:val="00041594"/>
    <w:rsid w:val="00044238"/>
    <w:rsid w:val="000450F2"/>
    <w:rsid w:val="0004754A"/>
    <w:rsid w:val="00050370"/>
    <w:rsid w:val="00051021"/>
    <w:rsid w:val="00051ED9"/>
    <w:rsid w:val="00052B3B"/>
    <w:rsid w:val="00054A18"/>
    <w:rsid w:val="00057181"/>
    <w:rsid w:val="000613ED"/>
    <w:rsid w:val="00061F0D"/>
    <w:rsid w:val="000644E4"/>
    <w:rsid w:val="0006473A"/>
    <w:rsid w:val="00064B2D"/>
    <w:rsid w:val="00065F1F"/>
    <w:rsid w:val="000668A9"/>
    <w:rsid w:val="000668DE"/>
    <w:rsid w:val="000704E9"/>
    <w:rsid w:val="00072785"/>
    <w:rsid w:val="00075756"/>
    <w:rsid w:val="00075B75"/>
    <w:rsid w:val="00076D33"/>
    <w:rsid w:val="00077F3C"/>
    <w:rsid w:val="00080810"/>
    <w:rsid w:val="00081562"/>
    <w:rsid w:val="0008457E"/>
    <w:rsid w:val="00092CDA"/>
    <w:rsid w:val="00093402"/>
    <w:rsid w:val="00094942"/>
    <w:rsid w:val="000955EF"/>
    <w:rsid w:val="00096261"/>
    <w:rsid w:val="000A27E9"/>
    <w:rsid w:val="000A2890"/>
    <w:rsid w:val="000A38D4"/>
    <w:rsid w:val="000A3D8B"/>
    <w:rsid w:val="000A51E0"/>
    <w:rsid w:val="000A5DF8"/>
    <w:rsid w:val="000A6292"/>
    <w:rsid w:val="000A76CF"/>
    <w:rsid w:val="000B0607"/>
    <w:rsid w:val="000B1561"/>
    <w:rsid w:val="000B1FD1"/>
    <w:rsid w:val="000B246D"/>
    <w:rsid w:val="000B59D0"/>
    <w:rsid w:val="000B6AF2"/>
    <w:rsid w:val="000B703C"/>
    <w:rsid w:val="000C1990"/>
    <w:rsid w:val="000C1B7D"/>
    <w:rsid w:val="000C410E"/>
    <w:rsid w:val="000C49C3"/>
    <w:rsid w:val="000C530E"/>
    <w:rsid w:val="000C6B65"/>
    <w:rsid w:val="000C7AD7"/>
    <w:rsid w:val="000D07F1"/>
    <w:rsid w:val="000D1B41"/>
    <w:rsid w:val="000D354B"/>
    <w:rsid w:val="000D480B"/>
    <w:rsid w:val="000D58F0"/>
    <w:rsid w:val="000D5A58"/>
    <w:rsid w:val="000D6C56"/>
    <w:rsid w:val="000D6FD4"/>
    <w:rsid w:val="000E0AE4"/>
    <w:rsid w:val="000E3DBC"/>
    <w:rsid w:val="000E3DC6"/>
    <w:rsid w:val="000E52B0"/>
    <w:rsid w:val="000E6762"/>
    <w:rsid w:val="000E735E"/>
    <w:rsid w:val="000F02F9"/>
    <w:rsid w:val="000F03CB"/>
    <w:rsid w:val="000F12CD"/>
    <w:rsid w:val="000F2548"/>
    <w:rsid w:val="000F2626"/>
    <w:rsid w:val="000F2ECE"/>
    <w:rsid w:val="000F3652"/>
    <w:rsid w:val="000F7351"/>
    <w:rsid w:val="0010030C"/>
    <w:rsid w:val="00101B01"/>
    <w:rsid w:val="00106083"/>
    <w:rsid w:val="0010709B"/>
    <w:rsid w:val="001121EC"/>
    <w:rsid w:val="001125E4"/>
    <w:rsid w:val="00113CE3"/>
    <w:rsid w:val="001169EA"/>
    <w:rsid w:val="00116E5E"/>
    <w:rsid w:val="00117522"/>
    <w:rsid w:val="001176F4"/>
    <w:rsid w:val="00117B0F"/>
    <w:rsid w:val="0012215D"/>
    <w:rsid w:val="00122BD5"/>
    <w:rsid w:val="00123054"/>
    <w:rsid w:val="00125A3A"/>
    <w:rsid w:val="00130F59"/>
    <w:rsid w:val="00132607"/>
    <w:rsid w:val="001342B2"/>
    <w:rsid w:val="00136461"/>
    <w:rsid w:val="00137F0E"/>
    <w:rsid w:val="00137F2A"/>
    <w:rsid w:val="00141159"/>
    <w:rsid w:val="0014122E"/>
    <w:rsid w:val="00141855"/>
    <w:rsid w:val="00143011"/>
    <w:rsid w:val="00147BA4"/>
    <w:rsid w:val="0015192F"/>
    <w:rsid w:val="00152510"/>
    <w:rsid w:val="00152969"/>
    <w:rsid w:val="00153E3F"/>
    <w:rsid w:val="001542D8"/>
    <w:rsid w:val="00155109"/>
    <w:rsid w:val="0015607C"/>
    <w:rsid w:val="0016242D"/>
    <w:rsid w:val="001651B8"/>
    <w:rsid w:val="0017084E"/>
    <w:rsid w:val="001716D1"/>
    <w:rsid w:val="00171EF9"/>
    <w:rsid w:val="00172730"/>
    <w:rsid w:val="00177B26"/>
    <w:rsid w:val="00180C41"/>
    <w:rsid w:val="00180CE2"/>
    <w:rsid w:val="00182C4C"/>
    <w:rsid w:val="00183DF8"/>
    <w:rsid w:val="00184898"/>
    <w:rsid w:val="00184E71"/>
    <w:rsid w:val="00185B7B"/>
    <w:rsid w:val="001863C9"/>
    <w:rsid w:val="00191BB4"/>
    <w:rsid w:val="001930D7"/>
    <w:rsid w:val="00193CF5"/>
    <w:rsid w:val="00193DA3"/>
    <w:rsid w:val="00194947"/>
    <w:rsid w:val="00197D4D"/>
    <w:rsid w:val="00197D8D"/>
    <w:rsid w:val="001A08D1"/>
    <w:rsid w:val="001A1509"/>
    <w:rsid w:val="001A1A75"/>
    <w:rsid w:val="001A1AF4"/>
    <w:rsid w:val="001A1F92"/>
    <w:rsid w:val="001A38E3"/>
    <w:rsid w:val="001A4927"/>
    <w:rsid w:val="001A4EDD"/>
    <w:rsid w:val="001A793F"/>
    <w:rsid w:val="001A7E9A"/>
    <w:rsid w:val="001B009A"/>
    <w:rsid w:val="001B500F"/>
    <w:rsid w:val="001B5378"/>
    <w:rsid w:val="001B712A"/>
    <w:rsid w:val="001B7853"/>
    <w:rsid w:val="001C27A3"/>
    <w:rsid w:val="001C3384"/>
    <w:rsid w:val="001C4090"/>
    <w:rsid w:val="001C4892"/>
    <w:rsid w:val="001C5295"/>
    <w:rsid w:val="001C53E3"/>
    <w:rsid w:val="001C548E"/>
    <w:rsid w:val="001C702F"/>
    <w:rsid w:val="001D0B3D"/>
    <w:rsid w:val="001D1D15"/>
    <w:rsid w:val="001E001B"/>
    <w:rsid w:val="001E046A"/>
    <w:rsid w:val="001E0547"/>
    <w:rsid w:val="001E09FA"/>
    <w:rsid w:val="001E0AA2"/>
    <w:rsid w:val="001E16E1"/>
    <w:rsid w:val="001E1707"/>
    <w:rsid w:val="001E1BBE"/>
    <w:rsid w:val="001E1D07"/>
    <w:rsid w:val="001E2B1A"/>
    <w:rsid w:val="001E4A40"/>
    <w:rsid w:val="001E4F47"/>
    <w:rsid w:val="001E7DF3"/>
    <w:rsid w:val="001F0A61"/>
    <w:rsid w:val="001F0F18"/>
    <w:rsid w:val="001F0F7D"/>
    <w:rsid w:val="001F41EC"/>
    <w:rsid w:val="001F4948"/>
    <w:rsid w:val="001F7A6E"/>
    <w:rsid w:val="00201AED"/>
    <w:rsid w:val="002026BF"/>
    <w:rsid w:val="00202DCC"/>
    <w:rsid w:val="00202FE3"/>
    <w:rsid w:val="00203540"/>
    <w:rsid w:val="00203992"/>
    <w:rsid w:val="00206AAD"/>
    <w:rsid w:val="0021070C"/>
    <w:rsid w:val="00210864"/>
    <w:rsid w:val="002108A7"/>
    <w:rsid w:val="00211C62"/>
    <w:rsid w:val="0021612B"/>
    <w:rsid w:val="002177E4"/>
    <w:rsid w:val="0022083A"/>
    <w:rsid w:val="00221587"/>
    <w:rsid w:val="00221C3E"/>
    <w:rsid w:val="00221D07"/>
    <w:rsid w:val="00221FA4"/>
    <w:rsid w:val="002241E0"/>
    <w:rsid w:val="0022644F"/>
    <w:rsid w:val="00227E4A"/>
    <w:rsid w:val="002307E8"/>
    <w:rsid w:val="0023175B"/>
    <w:rsid w:val="00231809"/>
    <w:rsid w:val="002322BA"/>
    <w:rsid w:val="0023384F"/>
    <w:rsid w:val="002361EF"/>
    <w:rsid w:val="00237718"/>
    <w:rsid w:val="00240B4D"/>
    <w:rsid w:val="002416CA"/>
    <w:rsid w:val="0024467D"/>
    <w:rsid w:val="0024582E"/>
    <w:rsid w:val="00245C56"/>
    <w:rsid w:val="0025439B"/>
    <w:rsid w:val="002547EF"/>
    <w:rsid w:val="0025482A"/>
    <w:rsid w:val="00255EA2"/>
    <w:rsid w:val="002563B3"/>
    <w:rsid w:val="00256D65"/>
    <w:rsid w:val="00257559"/>
    <w:rsid w:val="00260FB7"/>
    <w:rsid w:val="002621AB"/>
    <w:rsid w:val="0026703F"/>
    <w:rsid w:val="00271F00"/>
    <w:rsid w:val="00273A80"/>
    <w:rsid w:val="0027486B"/>
    <w:rsid w:val="0027486E"/>
    <w:rsid w:val="00274F5A"/>
    <w:rsid w:val="002773D9"/>
    <w:rsid w:val="002808C8"/>
    <w:rsid w:val="00280B52"/>
    <w:rsid w:val="0028284F"/>
    <w:rsid w:val="002845A6"/>
    <w:rsid w:val="00284649"/>
    <w:rsid w:val="00284972"/>
    <w:rsid w:val="00286983"/>
    <w:rsid w:val="00287D2A"/>
    <w:rsid w:val="0029204E"/>
    <w:rsid w:val="00293885"/>
    <w:rsid w:val="002953A8"/>
    <w:rsid w:val="00295C7F"/>
    <w:rsid w:val="0029631C"/>
    <w:rsid w:val="002A0194"/>
    <w:rsid w:val="002A2691"/>
    <w:rsid w:val="002A3103"/>
    <w:rsid w:val="002A40CB"/>
    <w:rsid w:val="002A46A3"/>
    <w:rsid w:val="002A4761"/>
    <w:rsid w:val="002A4EB0"/>
    <w:rsid w:val="002A5F8B"/>
    <w:rsid w:val="002A6193"/>
    <w:rsid w:val="002A7F6C"/>
    <w:rsid w:val="002B09CD"/>
    <w:rsid w:val="002B1FEC"/>
    <w:rsid w:val="002B42BF"/>
    <w:rsid w:val="002B4478"/>
    <w:rsid w:val="002B46DA"/>
    <w:rsid w:val="002B4D8C"/>
    <w:rsid w:val="002B5534"/>
    <w:rsid w:val="002B66F7"/>
    <w:rsid w:val="002B6793"/>
    <w:rsid w:val="002B6D4C"/>
    <w:rsid w:val="002C1C51"/>
    <w:rsid w:val="002C20EA"/>
    <w:rsid w:val="002C25DA"/>
    <w:rsid w:val="002C2DE5"/>
    <w:rsid w:val="002C3098"/>
    <w:rsid w:val="002C45D7"/>
    <w:rsid w:val="002C46ED"/>
    <w:rsid w:val="002C6818"/>
    <w:rsid w:val="002C6C17"/>
    <w:rsid w:val="002C7898"/>
    <w:rsid w:val="002D2C76"/>
    <w:rsid w:val="002D2CFB"/>
    <w:rsid w:val="002D34A0"/>
    <w:rsid w:val="002D3AC3"/>
    <w:rsid w:val="002D5CBA"/>
    <w:rsid w:val="002D6809"/>
    <w:rsid w:val="002D74DB"/>
    <w:rsid w:val="002D7A25"/>
    <w:rsid w:val="002E1FF5"/>
    <w:rsid w:val="002E2764"/>
    <w:rsid w:val="002E5192"/>
    <w:rsid w:val="002E5B88"/>
    <w:rsid w:val="002E707D"/>
    <w:rsid w:val="002F0029"/>
    <w:rsid w:val="002F30F1"/>
    <w:rsid w:val="002F46ED"/>
    <w:rsid w:val="002F5273"/>
    <w:rsid w:val="002F5CD0"/>
    <w:rsid w:val="002F6488"/>
    <w:rsid w:val="003007DC"/>
    <w:rsid w:val="00303AFF"/>
    <w:rsid w:val="003061D5"/>
    <w:rsid w:val="0030665A"/>
    <w:rsid w:val="00307758"/>
    <w:rsid w:val="00307A70"/>
    <w:rsid w:val="00310CE3"/>
    <w:rsid w:val="003133E6"/>
    <w:rsid w:val="0031389D"/>
    <w:rsid w:val="00314AE3"/>
    <w:rsid w:val="00314D8C"/>
    <w:rsid w:val="003200B1"/>
    <w:rsid w:val="00320839"/>
    <w:rsid w:val="003213F9"/>
    <w:rsid w:val="00321B6F"/>
    <w:rsid w:val="00323AC3"/>
    <w:rsid w:val="00323DBF"/>
    <w:rsid w:val="00324494"/>
    <w:rsid w:val="00325C9A"/>
    <w:rsid w:val="003309A8"/>
    <w:rsid w:val="00330D25"/>
    <w:rsid w:val="003327F7"/>
    <w:rsid w:val="00332836"/>
    <w:rsid w:val="00332B12"/>
    <w:rsid w:val="00334177"/>
    <w:rsid w:val="003344CA"/>
    <w:rsid w:val="003352BF"/>
    <w:rsid w:val="003357AE"/>
    <w:rsid w:val="00335829"/>
    <w:rsid w:val="00336BE8"/>
    <w:rsid w:val="00342288"/>
    <w:rsid w:val="00342C5B"/>
    <w:rsid w:val="00344667"/>
    <w:rsid w:val="00347432"/>
    <w:rsid w:val="003477F7"/>
    <w:rsid w:val="00347FD0"/>
    <w:rsid w:val="003508A4"/>
    <w:rsid w:val="003519F6"/>
    <w:rsid w:val="00351A91"/>
    <w:rsid w:val="00351B07"/>
    <w:rsid w:val="003525A8"/>
    <w:rsid w:val="003527C3"/>
    <w:rsid w:val="00352CF2"/>
    <w:rsid w:val="00354C31"/>
    <w:rsid w:val="003576E5"/>
    <w:rsid w:val="0036179C"/>
    <w:rsid w:val="003644C9"/>
    <w:rsid w:val="00364841"/>
    <w:rsid w:val="00366439"/>
    <w:rsid w:val="00367E30"/>
    <w:rsid w:val="00371B29"/>
    <w:rsid w:val="00373BBE"/>
    <w:rsid w:val="00374464"/>
    <w:rsid w:val="00374AB5"/>
    <w:rsid w:val="003758DB"/>
    <w:rsid w:val="003764C4"/>
    <w:rsid w:val="0037656B"/>
    <w:rsid w:val="0038124B"/>
    <w:rsid w:val="0038149A"/>
    <w:rsid w:val="003849A3"/>
    <w:rsid w:val="003866B0"/>
    <w:rsid w:val="003871C6"/>
    <w:rsid w:val="00387AB8"/>
    <w:rsid w:val="00391769"/>
    <w:rsid w:val="00392689"/>
    <w:rsid w:val="00394582"/>
    <w:rsid w:val="003952DB"/>
    <w:rsid w:val="003953E1"/>
    <w:rsid w:val="003956B3"/>
    <w:rsid w:val="00395B0C"/>
    <w:rsid w:val="00395B67"/>
    <w:rsid w:val="00396339"/>
    <w:rsid w:val="00397731"/>
    <w:rsid w:val="003A21E6"/>
    <w:rsid w:val="003A41F3"/>
    <w:rsid w:val="003A5531"/>
    <w:rsid w:val="003A68BE"/>
    <w:rsid w:val="003B1805"/>
    <w:rsid w:val="003B2503"/>
    <w:rsid w:val="003B2650"/>
    <w:rsid w:val="003B3A76"/>
    <w:rsid w:val="003B3C9D"/>
    <w:rsid w:val="003B4291"/>
    <w:rsid w:val="003B78E0"/>
    <w:rsid w:val="003C1CCE"/>
    <w:rsid w:val="003C3D99"/>
    <w:rsid w:val="003C4969"/>
    <w:rsid w:val="003C4B73"/>
    <w:rsid w:val="003C6D0F"/>
    <w:rsid w:val="003C7E05"/>
    <w:rsid w:val="003D18D5"/>
    <w:rsid w:val="003D4978"/>
    <w:rsid w:val="003D4A73"/>
    <w:rsid w:val="003D75F9"/>
    <w:rsid w:val="003E11BB"/>
    <w:rsid w:val="003E367F"/>
    <w:rsid w:val="003E41D5"/>
    <w:rsid w:val="003E46BA"/>
    <w:rsid w:val="003E4A10"/>
    <w:rsid w:val="003E6730"/>
    <w:rsid w:val="003E6855"/>
    <w:rsid w:val="003E7D22"/>
    <w:rsid w:val="003F1DC7"/>
    <w:rsid w:val="003F4149"/>
    <w:rsid w:val="003F68A4"/>
    <w:rsid w:val="003F74C1"/>
    <w:rsid w:val="003F74E9"/>
    <w:rsid w:val="003F768D"/>
    <w:rsid w:val="004001E5"/>
    <w:rsid w:val="00400A91"/>
    <w:rsid w:val="0040181E"/>
    <w:rsid w:val="004034DA"/>
    <w:rsid w:val="004047D3"/>
    <w:rsid w:val="00405A25"/>
    <w:rsid w:val="00405B1A"/>
    <w:rsid w:val="00405B1F"/>
    <w:rsid w:val="00406614"/>
    <w:rsid w:val="004106F5"/>
    <w:rsid w:val="00410AC1"/>
    <w:rsid w:val="00410C76"/>
    <w:rsid w:val="00411907"/>
    <w:rsid w:val="00413CA8"/>
    <w:rsid w:val="00414153"/>
    <w:rsid w:val="00415B09"/>
    <w:rsid w:val="00416450"/>
    <w:rsid w:val="004165CA"/>
    <w:rsid w:val="00417EE3"/>
    <w:rsid w:val="004207EB"/>
    <w:rsid w:val="004210B9"/>
    <w:rsid w:val="00423984"/>
    <w:rsid w:val="00423F86"/>
    <w:rsid w:val="004261C9"/>
    <w:rsid w:val="004304BD"/>
    <w:rsid w:val="004306A6"/>
    <w:rsid w:val="00430A14"/>
    <w:rsid w:val="00432763"/>
    <w:rsid w:val="00433949"/>
    <w:rsid w:val="00434E86"/>
    <w:rsid w:val="00437276"/>
    <w:rsid w:val="00437D27"/>
    <w:rsid w:val="0044102D"/>
    <w:rsid w:val="00441601"/>
    <w:rsid w:val="00442F58"/>
    <w:rsid w:val="0044355F"/>
    <w:rsid w:val="004472EA"/>
    <w:rsid w:val="004478D7"/>
    <w:rsid w:val="004479F5"/>
    <w:rsid w:val="00456B54"/>
    <w:rsid w:val="00462B56"/>
    <w:rsid w:val="00463050"/>
    <w:rsid w:val="00464643"/>
    <w:rsid w:val="00466255"/>
    <w:rsid w:val="00466BEA"/>
    <w:rsid w:val="00466FAD"/>
    <w:rsid w:val="00467C08"/>
    <w:rsid w:val="00470B5F"/>
    <w:rsid w:val="00472244"/>
    <w:rsid w:val="00473363"/>
    <w:rsid w:val="00474256"/>
    <w:rsid w:val="00474E1B"/>
    <w:rsid w:val="00475EEE"/>
    <w:rsid w:val="004816DD"/>
    <w:rsid w:val="0048202B"/>
    <w:rsid w:val="00484A55"/>
    <w:rsid w:val="00486793"/>
    <w:rsid w:val="00486CB1"/>
    <w:rsid w:val="00491FDF"/>
    <w:rsid w:val="00492832"/>
    <w:rsid w:val="004939B8"/>
    <w:rsid w:val="00493C80"/>
    <w:rsid w:val="00494209"/>
    <w:rsid w:val="0049663E"/>
    <w:rsid w:val="0049752D"/>
    <w:rsid w:val="00497625"/>
    <w:rsid w:val="004A1EBC"/>
    <w:rsid w:val="004A2037"/>
    <w:rsid w:val="004A22BB"/>
    <w:rsid w:val="004A270A"/>
    <w:rsid w:val="004A34C6"/>
    <w:rsid w:val="004A40EB"/>
    <w:rsid w:val="004A45D8"/>
    <w:rsid w:val="004A5078"/>
    <w:rsid w:val="004A563F"/>
    <w:rsid w:val="004A6183"/>
    <w:rsid w:val="004A6551"/>
    <w:rsid w:val="004A7397"/>
    <w:rsid w:val="004A7BF2"/>
    <w:rsid w:val="004B2152"/>
    <w:rsid w:val="004B26D8"/>
    <w:rsid w:val="004B2CA2"/>
    <w:rsid w:val="004B6553"/>
    <w:rsid w:val="004C276A"/>
    <w:rsid w:val="004C29FD"/>
    <w:rsid w:val="004C2CE7"/>
    <w:rsid w:val="004C739F"/>
    <w:rsid w:val="004C7450"/>
    <w:rsid w:val="004D2E40"/>
    <w:rsid w:val="004D3098"/>
    <w:rsid w:val="004D3AE7"/>
    <w:rsid w:val="004D4E31"/>
    <w:rsid w:val="004D7E72"/>
    <w:rsid w:val="004E25FE"/>
    <w:rsid w:val="004E30E5"/>
    <w:rsid w:val="004E50AF"/>
    <w:rsid w:val="004E5D67"/>
    <w:rsid w:val="004F0166"/>
    <w:rsid w:val="004F4CCF"/>
    <w:rsid w:val="004F4F98"/>
    <w:rsid w:val="004F69F6"/>
    <w:rsid w:val="004F6EAC"/>
    <w:rsid w:val="004F79AC"/>
    <w:rsid w:val="005012E4"/>
    <w:rsid w:val="005017CF"/>
    <w:rsid w:val="00501AE2"/>
    <w:rsid w:val="00502FAC"/>
    <w:rsid w:val="00506F24"/>
    <w:rsid w:val="00511466"/>
    <w:rsid w:val="00511C39"/>
    <w:rsid w:val="005144CA"/>
    <w:rsid w:val="00515549"/>
    <w:rsid w:val="0051623C"/>
    <w:rsid w:val="00517CEE"/>
    <w:rsid w:val="005207D8"/>
    <w:rsid w:val="0052174B"/>
    <w:rsid w:val="00526826"/>
    <w:rsid w:val="00527E55"/>
    <w:rsid w:val="00530DD2"/>
    <w:rsid w:val="005323EF"/>
    <w:rsid w:val="0053269B"/>
    <w:rsid w:val="00532DAE"/>
    <w:rsid w:val="0053464E"/>
    <w:rsid w:val="005378BC"/>
    <w:rsid w:val="005408CA"/>
    <w:rsid w:val="00547A38"/>
    <w:rsid w:val="00550032"/>
    <w:rsid w:val="00550D1E"/>
    <w:rsid w:val="00551CF2"/>
    <w:rsid w:val="00552340"/>
    <w:rsid w:val="00552F11"/>
    <w:rsid w:val="00554F0D"/>
    <w:rsid w:val="005563A6"/>
    <w:rsid w:val="00557D1D"/>
    <w:rsid w:val="005616C5"/>
    <w:rsid w:val="00561DA8"/>
    <w:rsid w:val="0056245E"/>
    <w:rsid w:val="00562917"/>
    <w:rsid w:val="00564868"/>
    <w:rsid w:val="00566E54"/>
    <w:rsid w:val="00567370"/>
    <w:rsid w:val="00567D78"/>
    <w:rsid w:val="00570A0C"/>
    <w:rsid w:val="00570A43"/>
    <w:rsid w:val="0057194D"/>
    <w:rsid w:val="00573CEB"/>
    <w:rsid w:val="00575851"/>
    <w:rsid w:val="005760A3"/>
    <w:rsid w:val="00577AC9"/>
    <w:rsid w:val="00577F1C"/>
    <w:rsid w:val="00583114"/>
    <w:rsid w:val="00584319"/>
    <w:rsid w:val="00584BF9"/>
    <w:rsid w:val="00586228"/>
    <w:rsid w:val="005928E5"/>
    <w:rsid w:val="005930A1"/>
    <w:rsid w:val="00594901"/>
    <w:rsid w:val="00596850"/>
    <w:rsid w:val="005970EB"/>
    <w:rsid w:val="005A1D97"/>
    <w:rsid w:val="005A545F"/>
    <w:rsid w:val="005B039C"/>
    <w:rsid w:val="005B0615"/>
    <w:rsid w:val="005B1B40"/>
    <w:rsid w:val="005B2E16"/>
    <w:rsid w:val="005B30A9"/>
    <w:rsid w:val="005B4F50"/>
    <w:rsid w:val="005B6AF4"/>
    <w:rsid w:val="005B6F75"/>
    <w:rsid w:val="005B7A73"/>
    <w:rsid w:val="005C04CB"/>
    <w:rsid w:val="005C1CB0"/>
    <w:rsid w:val="005C258B"/>
    <w:rsid w:val="005C56BB"/>
    <w:rsid w:val="005C64D5"/>
    <w:rsid w:val="005C7683"/>
    <w:rsid w:val="005D0613"/>
    <w:rsid w:val="005D16AD"/>
    <w:rsid w:val="005D2A7E"/>
    <w:rsid w:val="005D4038"/>
    <w:rsid w:val="005D4EC2"/>
    <w:rsid w:val="005D6DA9"/>
    <w:rsid w:val="005D72E1"/>
    <w:rsid w:val="005E079C"/>
    <w:rsid w:val="005E1670"/>
    <w:rsid w:val="005E2111"/>
    <w:rsid w:val="005E35F3"/>
    <w:rsid w:val="005E4D2D"/>
    <w:rsid w:val="005E5548"/>
    <w:rsid w:val="005E59E9"/>
    <w:rsid w:val="005E68DA"/>
    <w:rsid w:val="005E6E16"/>
    <w:rsid w:val="005F12F6"/>
    <w:rsid w:val="005F296E"/>
    <w:rsid w:val="005F400E"/>
    <w:rsid w:val="005F528E"/>
    <w:rsid w:val="005F54D3"/>
    <w:rsid w:val="005F7342"/>
    <w:rsid w:val="00600336"/>
    <w:rsid w:val="006017BD"/>
    <w:rsid w:val="00603A08"/>
    <w:rsid w:val="00604A0C"/>
    <w:rsid w:val="006100A5"/>
    <w:rsid w:val="00610A3C"/>
    <w:rsid w:val="00612C96"/>
    <w:rsid w:val="0061384B"/>
    <w:rsid w:val="00620C5F"/>
    <w:rsid w:val="00621BBA"/>
    <w:rsid w:val="00623DE2"/>
    <w:rsid w:val="00625929"/>
    <w:rsid w:val="00626233"/>
    <w:rsid w:val="00627F48"/>
    <w:rsid w:val="00630C23"/>
    <w:rsid w:val="0063365F"/>
    <w:rsid w:val="0063631C"/>
    <w:rsid w:val="00642729"/>
    <w:rsid w:val="00642B93"/>
    <w:rsid w:val="00642C04"/>
    <w:rsid w:val="00644B8C"/>
    <w:rsid w:val="0064553C"/>
    <w:rsid w:val="00645E92"/>
    <w:rsid w:val="006460AB"/>
    <w:rsid w:val="006479F6"/>
    <w:rsid w:val="00651AF1"/>
    <w:rsid w:val="00651CDA"/>
    <w:rsid w:val="006529F5"/>
    <w:rsid w:val="00652F15"/>
    <w:rsid w:val="00653F36"/>
    <w:rsid w:val="00654F7E"/>
    <w:rsid w:val="00656727"/>
    <w:rsid w:val="00663983"/>
    <w:rsid w:val="00663A9A"/>
    <w:rsid w:val="00663FCF"/>
    <w:rsid w:val="006652A2"/>
    <w:rsid w:val="00665484"/>
    <w:rsid w:val="00667DAA"/>
    <w:rsid w:val="00667E34"/>
    <w:rsid w:val="00667FCF"/>
    <w:rsid w:val="00671C47"/>
    <w:rsid w:val="00673617"/>
    <w:rsid w:val="006757AC"/>
    <w:rsid w:val="00677E4A"/>
    <w:rsid w:val="00680495"/>
    <w:rsid w:val="00680F3A"/>
    <w:rsid w:val="006815A8"/>
    <w:rsid w:val="006819C2"/>
    <w:rsid w:val="00683BB1"/>
    <w:rsid w:val="006855B8"/>
    <w:rsid w:val="00690206"/>
    <w:rsid w:val="0069051B"/>
    <w:rsid w:val="0069241A"/>
    <w:rsid w:val="006937FF"/>
    <w:rsid w:val="006958A3"/>
    <w:rsid w:val="00696CAB"/>
    <w:rsid w:val="0069738C"/>
    <w:rsid w:val="006A3FAA"/>
    <w:rsid w:val="006A43C7"/>
    <w:rsid w:val="006A48A7"/>
    <w:rsid w:val="006B303F"/>
    <w:rsid w:val="006B4BA1"/>
    <w:rsid w:val="006B5EBE"/>
    <w:rsid w:val="006B5F49"/>
    <w:rsid w:val="006B614D"/>
    <w:rsid w:val="006B6821"/>
    <w:rsid w:val="006C1108"/>
    <w:rsid w:val="006C2514"/>
    <w:rsid w:val="006C2FA5"/>
    <w:rsid w:val="006C545D"/>
    <w:rsid w:val="006C5CF5"/>
    <w:rsid w:val="006C70DE"/>
    <w:rsid w:val="006D2084"/>
    <w:rsid w:val="006D2A3B"/>
    <w:rsid w:val="006D2D01"/>
    <w:rsid w:val="006D3768"/>
    <w:rsid w:val="006D51DE"/>
    <w:rsid w:val="006E5B8A"/>
    <w:rsid w:val="006E5CF1"/>
    <w:rsid w:val="006E7318"/>
    <w:rsid w:val="006F0EFB"/>
    <w:rsid w:val="006F116B"/>
    <w:rsid w:val="006F11A5"/>
    <w:rsid w:val="006F4A82"/>
    <w:rsid w:val="006F743C"/>
    <w:rsid w:val="006F7905"/>
    <w:rsid w:val="0070065B"/>
    <w:rsid w:val="007011C1"/>
    <w:rsid w:val="0070122B"/>
    <w:rsid w:val="00701E7E"/>
    <w:rsid w:val="0070373B"/>
    <w:rsid w:val="0070631A"/>
    <w:rsid w:val="00714694"/>
    <w:rsid w:val="00716EA5"/>
    <w:rsid w:val="00717027"/>
    <w:rsid w:val="00717F6B"/>
    <w:rsid w:val="00720D1E"/>
    <w:rsid w:val="00724532"/>
    <w:rsid w:val="007245DE"/>
    <w:rsid w:val="00724D39"/>
    <w:rsid w:val="00724FA4"/>
    <w:rsid w:val="007277BF"/>
    <w:rsid w:val="00730800"/>
    <w:rsid w:val="0073094F"/>
    <w:rsid w:val="00732004"/>
    <w:rsid w:val="00733179"/>
    <w:rsid w:val="007350A2"/>
    <w:rsid w:val="007423C2"/>
    <w:rsid w:val="00744165"/>
    <w:rsid w:val="0075044B"/>
    <w:rsid w:val="007515C4"/>
    <w:rsid w:val="00752ED8"/>
    <w:rsid w:val="007602AA"/>
    <w:rsid w:val="0076178E"/>
    <w:rsid w:val="007652EF"/>
    <w:rsid w:val="00765D08"/>
    <w:rsid w:val="00765E8B"/>
    <w:rsid w:val="00766260"/>
    <w:rsid w:val="00766B8E"/>
    <w:rsid w:val="00770E6A"/>
    <w:rsid w:val="007720F6"/>
    <w:rsid w:val="00772BDC"/>
    <w:rsid w:val="0077469F"/>
    <w:rsid w:val="00776CA8"/>
    <w:rsid w:val="007773EC"/>
    <w:rsid w:val="00777C31"/>
    <w:rsid w:val="00780792"/>
    <w:rsid w:val="0078363F"/>
    <w:rsid w:val="00784710"/>
    <w:rsid w:val="00784D37"/>
    <w:rsid w:val="00784E59"/>
    <w:rsid w:val="00786BEC"/>
    <w:rsid w:val="00786EE6"/>
    <w:rsid w:val="00787389"/>
    <w:rsid w:val="00791F77"/>
    <w:rsid w:val="0079470C"/>
    <w:rsid w:val="00797BFD"/>
    <w:rsid w:val="007A092B"/>
    <w:rsid w:val="007A0A2B"/>
    <w:rsid w:val="007A0EC2"/>
    <w:rsid w:val="007A38ED"/>
    <w:rsid w:val="007A3D09"/>
    <w:rsid w:val="007A3E94"/>
    <w:rsid w:val="007A44AA"/>
    <w:rsid w:val="007A44B4"/>
    <w:rsid w:val="007A5D74"/>
    <w:rsid w:val="007A6CBD"/>
    <w:rsid w:val="007A7D3D"/>
    <w:rsid w:val="007B00C0"/>
    <w:rsid w:val="007B225D"/>
    <w:rsid w:val="007B3DF5"/>
    <w:rsid w:val="007B49E4"/>
    <w:rsid w:val="007B4AEE"/>
    <w:rsid w:val="007B605C"/>
    <w:rsid w:val="007C12A2"/>
    <w:rsid w:val="007C174F"/>
    <w:rsid w:val="007C1C64"/>
    <w:rsid w:val="007C2040"/>
    <w:rsid w:val="007C391D"/>
    <w:rsid w:val="007C400C"/>
    <w:rsid w:val="007C578B"/>
    <w:rsid w:val="007D03EA"/>
    <w:rsid w:val="007D38E2"/>
    <w:rsid w:val="007D645E"/>
    <w:rsid w:val="007D7558"/>
    <w:rsid w:val="007E24B0"/>
    <w:rsid w:val="007E4857"/>
    <w:rsid w:val="007E48BC"/>
    <w:rsid w:val="007E5D60"/>
    <w:rsid w:val="007E76E9"/>
    <w:rsid w:val="007E79F7"/>
    <w:rsid w:val="007F0112"/>
    <w:rsid w:val="007F1125"/>
    <w:rsid w:val="007F3630"/>
    <w:rsid w:val="007F4807"/>
    <w:rsid w:val="007F4A1E"/>
    <w:rsid w:val="007F5260"/>
    <w:rsid w:val="007F5634"/>
    <w:rsid w:val="007F62B0"/>
    <w:rsid w:val="0080502D"/>
    <w:rsid w:val="00805BBA"/>
    <w:rsid w:val="00807559"/>
    <w:rsid w:val="008108E5"/>
    <w:rsid w:val="008119D5"/>
    <w:rsid w:val="00816AE7"/>
    <w:rsid w:val="008223F6"/>
    <w:rsid w:val="008225D6"/>
    <w:rsid w:val="00822B71"/>
    <w:rsid w:val="00822C37"/>
    <w:rsid w:val="00823915"/>
    <w:rsid w:val="00823D5B"/>
    <w:rsid w:val="00824CDC"/>
    <w:rsid w:val="0083334F"/>
    <w:rsid w:val="00833728"/>
    <w:rsid w:val="00834191"/>
    <w:rsid w:val="00836932"/>
    <w:rsid w:val="00836F54"/>
    <w:rsid w:val="00841E4B"/>
    <w:rsid w:val="00842E80"/>
    <w:rsid w:val="008450BC"/>
    <w:rsid w:val="00847EF8"/>
    <w:rsid w:val="00850CB7"/>
    <w:rsid w:val="00850ECF"/>
    <w:rsid w:val="0085108E"/>
    <w:rsid w:val="00851789"/>
    <w:rsid w:val="00851A59"/>
    <w:rsid w:val="0085334B"/>
    <w:rsid w:val="008540EE"/>
    <w:rsid w:val="008541E2"/>
    <w:rsid w:val="00855BC4"/>
    <w:rsid w:val="00857781"/>
    <w:rsid w:val="00857A4B"/>
    <w:rsid w:val="00862478"/>
    <w:rsid w:val="008631FB"/>
    <w:rsid w:val="00863B3F"/>
    <w:rsid w:val="00863D5C"/>
    <w:rsid w:val="00863E75"/>
    <w:rsid w:val="00866E50"/>
    <w:rsid w:val="008671D1"/>
    <w:rsid w:val="00870212"/>
    <w:rsid w:val="00870214"/>
    <w:rsid w:val="00870522"/>
    <w:rsid w:val="008732BC"/>
    <w:rsid w:val="0087357B"/>
    <w:rsid w:val="00874810"/>
    <w:rsid w:val="00877EF6"/>
    <w:rsid w:val="0088351E"/>
    <w:rsid w:val="00885031"/>
    <w:rsid w:val="008852A3"/>
    <w:rsid w:val="00885C51"/>
    <w:rsid w:val="00885EB0"/>
    <w:rsid w:val="00886C92"/>
    <w:rsid w:val="00886D6D"/>
    <w:rsid w:val="00890F90"/>
    <w:rsid w:val="00891518"/>
    <w:rsid w:val="00891F4B"/>
    <w:rsid w:val="0089232C"/>
    <w:rsid w:val="0089264A"/>
    <w:rsid w:val="00896B27"/>
    <w:rsid w:val="00896B85"/>
    <w:rsid w:val="00897EA0"/>
    <w:rsid w:val="008A1346"/>
    <w:rsid w:val="008A22BE"/>
    <w:rsid w:val="008A4B77"/>
    <w:rsid w:val="008A5166"/>
    <w:rsid w:val="008A6050"/>
    <w:rsid w:val="008A798D"/>
    <w:rsid w:val="008A7C50"/>
    <w:rsid w:val="008A7D8B"/>
    <w:rsid w:val="008B257C"/>
    <w:rsid w:val="008B280C"/>
    <w:rsid w:val="008B4218"/>
    <w:rsid w:val="008B7F34"/>
    <w:rsid w:val="008C0534"/>
    <w:rsid w:val="008C1B36"/>
    <w:rsid w:val="008C22AF"/>
    <w:rsid w:val="008C4D45"/>
    <w:rsid w:val="008C6E83"/>
    <w:rsid w:val="008C706C"/>
    <w:rsid w:val="008C71A5"/>
    <w:rsid w:val="008D05D0"/>
    <w:rsid w:val="008D06C6"/>
    <w:rsid w:val="008D1763"/>
    <w:rsid w:val="008D2F12"/>
    <w:rsid w:val="008D3192"/>
    <w:rsid w:val="008D6729"/>
    <w:rsid w:val="008D7A08"/>
    <w:rsid w:val="008E15D4"/>
    <w:rsid w:val="008E4CAA"/>
    <w:rsid w:val="008E6250"/>
    <w:rsid w:val="008F4FF2"/>
    <w:rsid w:val="008F640D"/>
    <w:rsid w:val="00902AF6"/>
    <w:rsid w:val="00902BD5"/>
    <w:rsid w:val="00904E2E"/>
    <w:rsid w:val="00905E27"/>
    <w:rsid w:val="0090682B"/>
    <w:rsid w:val="00906D38"/>
    <w:rsid w:val="00907AF5"/>
    <w:rsid w:val="00907F44"/>
    <w:rsid w:val="009135C4"/>
    <w:rsid w:val="00913666"/>
    <w:rsid w:val="00914E12"/>
    <w:rsid w:val="00914F18"/>
    <w:rsid w:val="009175A8"/>
    <w:rsid w:val="00920249"/>
    <w:rsid w:val="00920443"/>
    <w:rsid w:val="0092218D"/>
    <w:rsid w:val="00922E3F"/>
    <w:rsid w:val="00923403"/>
    <w:rsid w:val="00924C80"/>
    <w:rsid w:val="009310E8"/>
    <w:rsid w:val="0093122B"/>
    <w:rsid w:val="00932CD0"/>
    <w:rsid w:val="00932EDF"/>
    <w:rsid w:val="00932F14"/>
    <w:rsid w:val="0093337E"/>
    <w:rsid w:val="00934E05"/>
    <w:rsid w:val="00935868"/>
    <w:rsid w:val="009371AA"/>
    <w:rsid w:val="00937E1C"/>
    <w:rsid w:val="009406D6"/>
    <w:rsid w:val="00940731"/>
    <w:rsid w:val="0094247F"/>
    <w:rsid w:val="00942D60"/>
    <w:rsid w:val="00944937"/>
    <w:rsid w:val="00945A85"/>
    <w:rsid w:val="00950ED3"/>
    <w:rsid w:val="00954094"/>
    <w:rsid w:val="00954ED4"/>
    <w:rsid w:val="00955838"/>
    <w:rsid w:val="00955E76"/>
    <w:rsid w:val="0096251D"/>
    <w:rsid w:val="00962637"/>
    <w:rsid w:val="0096523B"/>
    <w:rsid w:val="00966E81"/>
    <w:rsid w:val="00966EE3"/>
    <w:rsid w:val="00971866"/>
    <w:rsid w:val="009718CB"/>
    <w:rsid w:val="00972549"/>
    <w:rsid w:val="00972579"/>
    <w:rsid w:val="00972D06"/>
    <w:rsid w:val="0097394F"/>
    <w:rsid w:val="009751DF"/>
    <w:rsid w:val="00975865"/>
    <w:rsid w:val="00976B3B"/>
    <w:rsid w:val="00976E65"/>
    <w:rsid w:val="00977274"/>
    <w:rsid w:val="00983952"/>
    <w:rsid w:val="0098399D"/>
    <w:rsid w:val="0098412F"/>
    <w:rsid w:val="00986785"/>
    <w:rsid w:val="009902FE"/>
    <w:rsid w:val="00993C6E"/>
    <w:rsid w:val="009A1B18"/>
    <w:rsid w:val="009A285E"/>
    <w:rsid w:val="009A2FC8"/>
    <w:rsid w:val="009A391C"/>
    <w:rsid w:val="009A42EA"/>
    <w:rsid w:val="009A49AF"/>
    <w:rsid w:val="009A50F2"/>
    <w:rsid w:val="009B037E"/>
    <w:rsid w:val="009B124A"/>
    <w:rsid w:val="009B6C13"/>
    <w:rsid w:val="009C0798"/>
    <w:rsid w:val="009C1484"/>
    <w:rsid w:val="009C39CA"/>
    <w:rsid w:val="009C4596"/>
    <w:rsid w:val="009C51AF"/>
    <w:rsid w:val="009C576F"/>
    <w:rsid w:val="009C76F0"/>
    <w:rsid w:val="009D252E"/>
    <w:rsid w:val="009D25B7"/>
    <w:rsid w:val="009D4F11"/>
    <w:rsid w:val="009D7C3E"/>
    <w:rsid w:val="009E0A61"/>
    <w:rsid w:val="009E175B"/>
    <w:rsid w:val="009E1D39"/>
    <w:rsid w:val="009E2905"/>
    <w:rsid w:val="009E2BD3"/>
    <w:rsid w:val="009E3010"/>
    <w:rsid w:val="009E4872"/>
    <w:rsid w:val="009E495F"/>
    <w:rsid w:val="009E4A52"/>
    <w:rsid w:val="009E5F8D"/>
    <w:rsid w:val="009E61D4"/>
    <w:rsid w:val="009F007E"/>
    <w:rsid w:val="009F1C08"/>
    <w:rsid w:val="009F21FE"/>
    <w:rsid w:val="009F586B"/>
    <w:rsid w:val="009F6640"/>
    <w:rsid w:val="009F7065"/>
    <w:rsid w:val="00A0194D"/>
    <w:rsid w:val="00A05677"/>
    <w:rsid w:val="00A06B8F"/>
    <w:rsid w:val="00A10F84"/>
    <w:rsid w:val="00A128B3"/>
    <w:rsid w:val="00A12ECC"/>
    <w:rsid w:val="00A13390"/>
    <w:rsid w:val="00A154B1"/>
    <w:rsid w:val="00A16D0D"/>
    <w:rsid w:val="00A16FEF"/>
    <w:rsid w:val="00A17C58"/>
    <w:rsid w:val="00A17C5C"/>
    <w:rsid w:val="00A17CC2"/>
    <w:rsid w:val="00A214CB"/>
    <w:rsid w:val="00A227ED"/>
    <w:rsid w:val="00A24F2F"/>
    <w:rsid w:val="00A26E09"/>
    <w:rsid w:val="00A314F8"/>
    <w:rsid w:val="00A3330A"/>
    <w:rsid w:val="00A355A0"/>
    <w:rsid w:val="00A360BE"/>
    <w:rsid w:val="00A37F6B"/>
    <w:rsid w:val="00A4175D"/>
    <w:rsid w:val="00A437D6"/>
    <w:rsid w:val="00A45647"/>
    <w:rsid w:val="00A456FC"/>
    <w:rsid w:val="00A4665C"/>
    <w:rsid w:val="00A4693E"/>
    <w:rsid w:val="00A503E7"/>
    <w:rsid w:val="00A53E09"/>
    <w:rsid w:val="00A54709"/>
    <w:rsid w:val="00A5521B"/>
    <w:rsid w:val="00A565CD"/>
    <w:rsid w:val="00A56DC7"/>
    <w:rsid w:val="00A57A28"/>
    <w:rsid w:val="00A610D7"/>
    <w:rsid w:val="00A61AAA"/>
    <w:rsid w:val="00A62A39"/>
    <w:rsid w:val="00A63242"/>
    <w:rsid w:val="00A650C0"/>
    <w:rsid w:val="00A65CA0"/>
    <w:rsid w:val="00A66E97"/>
    <w:rsid w:val="00A676E5"/>
    <w:rsid w:val="00A73199"/>
    <w:rsid w:val="00A737F8"/>
    <w:rsid w:val="00A74C9D"/>
    <w:rsid w:val="00A74FD1"/>
    <w:rsid w:val="00A754EF"/>
    <w:rsid w:val="00A77012"/>
    <w:rsid w:val="00A80015"/>
    <w:rsid w:val="00A818AF"/>
    <w:rsid w:val="00A82B06"/>
    <w:rsid w:val="00A82F49"/>
    <w:rsid w:val="00A83985"/>
    <w:rsid w:val="00A83E70"/>
    <w:rsid w:val="00A84209"/>
    <w:rsid w:val="00A84A58"/>
    <w:rsid w:val="00A87F3F"/>
    <w:rsid w:val="00A90624"/>
    <w:rsid w:val="00A948F1"/>
    <w:rsid w:val="00A95139"/>
    <w:rsid w:val="00A95F06"/>
    <w:rsid w:val="00A96DAE"/>
    <w:rsid w:val="00A97062"/>
    <w:rsid w:val="00A973AC"/>
    <w:rsid w:val="00A97EC2"/>
    <w:rsid w:val="00AA180E"/>
    <w:rsid w:val="00AA48A5"/>
    <w:rsid w:val="00AA6014"/>
    <w:rsid w:val="00AB3452"/>
    <w:rsid w:val="00AB4303"/>
    <w:rsid w:val="00AB4F5B"/>
    <w:rsid w:val="00AB5D90"/>
    <w:rsid w:val="00AB6B10"/>
    <w:rsid w:val="00AC173C"/>
    <w:rsid w:val="00AC26C9"/>
    <w:rsid w:val="00AC3ACF"/>
    <w:rsid w:val="00AC3C9B"/>
    <w:rsid w:val="00AC5AE0"/>
    <w:rsid w:val="00AC6A52"/>
    <w:rsid w:val="00AC7955"/>
    <w:rsid w:val="00AC7C33"/>
    <w:rsid w:val="00AD22DE"/>
    <w:rsid w:val="00AD515B"/>
    <w:rsid w:val="00AD5A95"/>
    <w:rsid w:val="00AD6BFE"/>
    <w:rsid w:val="00AD70EA"/>
    <w:rsid w:val="00AE7110"/>
    <w:rsid w:val="00AF06FC"/>
    <w:rsid w:val="00AF084B"/>
    <w:rsid w:val="00AF181C"/>
    <w:rsid w:val="00AF2357"/>
    <w:rsid w:val="00AF26CF"/>
    <w:rsid w:val="00AF3391"/>
    <w:rsid w:val="00AF387F"/>
    <w:rsid w:val="00AF3A23"/>
    <w:rsid w:val="00AF507F"/>
    <w:rsid w:val="00AF6205"/>
    <w:rsid w:val="00AF6847"/>
    <w:rsid w:val="00B00E7F"/>
    <w:rsid w:val="00B02BB4"/>
    <w:rsid w:val="00B03910"/>
    <w:rsid w:val="00B0402B"/>
    <w:rsid w:val="00B05B87"/>
    <w:rsid w:val="00B06257"/>
    <w:rsid w:val="00B06698"/>
    <w:rsid w:val="00B06DD9"/>
    <w:rsid w:val="00B11F01"/>
    <w:rsid w:val="00B12F1E"/>
    <w:rsid w:val="00B13D64"/>
    <w:rsid w:val="00B141E7"/>
    <w:rsid w:val="00B14C3A"/>
    <w:rsid w:val="00B15335"/>
    <w:rsid w:val="00B15AFB"/>
    <w:rsid w:val="00B15B49"/>
    <w:rsid w:val="00B15B6B"/>
    <w:rsid w:val="00B166E3"/>
    <w:rsid w:val="00B173DA"/>
    <w:rsid w:val="00B17E30"/>
    <w:rsid w:val="00B200D0"/>
    <w:rsid w:val="00B20A55"/>
    <w:rsid w:val="00B216B3"/>
    <w:rsid w:val="00B21DCC"/>
    <w:rsid w:val="00B2301E"/>
    <w:rsid w:val="00B25862"/>
    <w:rsid w:val="00B25F37"/>
    <w:rsid w:val="00B274D2"/>
    <w:rsid w:val="00B30CA8"/>
    <w:rsid w:val="00B31460"/>
    <w:rsid w:val="00B327AF"/>
    <w:rsid w:val="00B33A2A"/>
    <w:rsid w:val="00B33F3A"/>
    <w:rsid w:val="00B3546C"/>
    <w:rsid w:val="00B37BF0"/>
    <w:rsid w:val="00B42434"/>
    <w:rsid w:val="00B42A41"/>
    <w:rsid w:val="00B43466"/>
    <w:rsid w:val="00B44422"/>
    <w:rsid w:val="00B45303"/>
    <w:rsid w:val="00B46EA0"/>
    <w:rsid w:val="00B46F08"/>
    <w:rsid w:val="00B47534"/>
    <w:rsid w:val="00B53A92"/>
    <w:rsid w:val="00B54391"/>
    <w:rsid w:val="00B55AC1"/>
    <w:rsid w:val="00B55E47"/>
    <w:rsid w:val="00B63134"/>
    <w:rsid w:val="00B632BA"/>
    <w:rsid w:val="00B63A86"/>
    <w:rsid w:val="00B642FB"/>
    <w:rsid w:val="00B6536D"/>
    <w:rsid w:val="00B6551B"/>
    <w:rsid w:val="00B656B9"/>
    <w:rsid w:val="00B677E6"/>
    <w:rsid w:val="00B707F4"/>
    <w:rsid w:val="00B731D3"/>
    <w:rsid w:val="00B739BC"/>
    <w:rsid w:val="00B73E4E"/>
    <w:rsid w:val="00B74142"/>
    <w:rsid w:val="00B7708C"/>
    <w:rsid w:val="00B80C29"/>
    <w:rsid w:val="00B81E26"/>
    <w:rsid w:val="00B82B94"/>
    <w:rsid w:val="00B839A3"/>
    <w:rsid w:val="00B84B44"/>
    <w:rsid w:val="00B87A8B"/>
    <w:rsid w:val="00B902BD"/>
    <w:rsid w:val="00B92687"/>
    <w:rsid w:val="00B930D9"/>
    <w:rsid w:val="00B93394"/>
    <w:rsid w:val="00B94C7D"/>
    <w:rsid w:val="00B953F9"/>
    <w:rsid w:val="00B972A2"/>
    <w:rsid w:val="00BA1F13"/>
    <w:rsid w:val="00BA24E2"/>
    <w:rsid w:val="00BB0099"/>
    <w:rsid w:val="00BB0A15"/>
    <w:rsid w:val="00BB0EBB"/>
    <w:rsid w:val="00BB2444"/>
    <w:rsid w:val="00BB3685"/>
    <w:rsid w:val="00BB47BB"/>
    <w:rsid w:val="00BB71E7"/>
    <w:rsid w:val="00BC04B5"/>
    <w:rsid w:val="00BC116E"/>
    <w:rsid w:val="00BC2E1D"/>
    <w:rsid w:val="00BC4D1D"/>
    <w:rsid w:val="00BC5EC3"/>
    <w:rsid w:val="00BC5F70"/>
    <w:rsid w:val="00BC66D5"/>
    <w:rsid w:val="00BC6EC8"/>
    <w:rsid w:val="00BD21BD"/>
    <w:rsid w:val="00BD2A39"/>
    <w:rsid w:val="00BD2E80"/>
    <w:rsid w:val="00BD2EBF"/>
    <w:rsid w:val="00BD452D"/>
    <w:rsid w:val="00BD6E7E"/>
    <w:rsid w:val="00BD7C35"/>
    <w:rsid w:val="00BE11B8"/>
    <w:rsid w:val="00BE6E98"/>
    <w:rsid w:val="00BE7321"/>
    <w:rsid w:val="00BE7372"/>
    <w:rsid w:val="00BF11E0"/>
    <w:rsid w:val="00BF19DE"/>
    <w:rsid w:val="00BF248B"/>
    <w:rsid w:val="00BF30B4"/>
    <w:rsid w:val="00BF4138"/>
    <w:rsid w:val="00BF44FF"/>
    <w:rsid w:val="00BF56D5"/>
    <w:rsid w:val="00BF6C9A"/>
    <w:rsid w:val="00BF7120"/>
    <w:rsid w:val="00BF7FF0"/>
    <w:rsid w:val="00C00441"/>
    <w:rsid w:val="00C00470"/>
    <w:rsid w:val="00C04568"/>
    <w:rsid w:val="00C05447"/>
    <w:rsid w:val="00C057F4"/>
    <w:rsid w:val="00C10999"/>
    <w:rsid w:val="00C12502"/>
    <w:rsid w:val="00C16C9B"/>
    <w:rsid w:val="00C23EAB"/>
    <w:rsid w:val="00C23FA9"/>
    <w:rsid w:val="00C24B5A"/>
    <w:rsid w:val="00C25771"/>
    <w:rsid w:val="00C271B4"/>
    <w:rsid w:val="00C27B9A"/>
    <w:rsid w:val="00C31A8A"/>
    <w:rsid w:val="00C36578"/>
    <w:rsid w:val="00C40427"/>
    <w:rsid w:val="00C40AA5"/>
    <w:rsid w:val="00C41E7A"/>
    <w:rsid w:val="00C42315"/>
    <w:rsid w:val="00C43A39"/>
    <w:rsid w:val="00C44F7A"/>
    <w:rsid w:val="00C4577E"/>
    <w:rsid w:val="00C46C9B"/>
    <w:rsid w:val="00C46F70"/>
    <w:rsid w:val="00C476D0"/>
    <w:rsid w:val="00C51B16"/>
    <w:rsid w:val="00C52DE0"/>
    <w:rsid w:val="00C534A2"/>
    <w:rsid w:val="00C547E1"/>
    <w:rsid w:val="00C56978"/>
    <w:rsid w:val="00C57041"/>
    <w:rsid w:val="00C576CD"/>
    <w:rsid w:val="00C61AC1"/>
    <w:rsid w:val="00C6306D"/>
    <w:rsid w:val="00C63C43"/>
    <w:rsid w:val="00C64211"/>
    <w:rsid w:val="00C649BB"/>
    <w:rsid w:val="00C662D9"/>
    <w:rsid w:val="00C67959"/>
    <w:rsid w:val="00C70D6F"/>
    <w:rsid w:val="00C73513"/>
    <w:rsid w:val="00C74764"/>
    <w:rsid w:val="00C817C7"/>
    <w:rsid w:val="00C81D79"/>
    <w:rsid w:val="00C82AEC"/>
    <w:rsid w:val="00C836E3"/>
    <w:rsid w:val="00C841AF"/>
    <w:rsid w:val="00C86577"/>
    <w:rsid w:val="00C86F70"/>
    <w:rsid w:val="00C878CE"/>
    <w:rsid w:val="00C92597"/>
    <w:rsid w:val="00C92E07"/>
    <w:rsid w:val="00C93CF4"/>
    <w:rsid w:val="00C94D63"/>
    <w:rsid w:val="00C94E3D"/>
    <w:rsid w:val="00C96868"/>
    <w:rsid w:val="00C97884"/>
    <w:rsid w:val="00CA02F0"/>
    <w:rsid w:val="00CA0416"/>
    <w:rsid w:val="00CA2208"/>
    <w:rsid w:val="00CA2F93"/>
    <w:rsid w:val="00CA6D84"/>
    <w:rsid w:val="00CA73AC"/>
    <w:rsid w:val="00CB0420"/>
    <w:rsid w:val="00CB0424"/>
    <w:rsid w:val="00CB0C7B"/>
    <w:rsid w:val="00CB0EFB"/>
    <w:rsid w:val="00CB166D"/>
    <w:rsid w:val="00CB2985"/>
    <w:rsid w:val="00CB380E"/>
    <w:rsid w:val="00CB5E26"/>
    <w:rsid w:val="00CB7847"/>
    <w:rsid w:val="00CC036B"/>
    <w:rsid w:val="00CC043A"/>
    <w:rsid w:val="00CC08C1"/>
    <w:rsid w:val="00CC28A5"/>
    <w:rsid w:val="00CC2ED9"/>
    <w:rsid w:val="00CC355C"/>
    <w:rsid w:val="00CC40AB"/>
    <w:rsid w:val="00CC49A6"/>
    <w:rsid w:val="00CC4A34"/>
    <w:rsid w:val="00CC537E"/>
    <w:rsid w:val="00CC560B"/>
    <w:rsid w:val="00CC5976"/>
    <w:rsid w:val="00CC643D"/>
    <w:rsid w:val="00CC74E2"/>
    <w:rsid w:val="00CC75E2"/>
    <w:rsid w:val="00CD1C80"/>
    <w:rsid w:val="00CD29F4"/>
    <w:rsid w:val="00CD2C6D"/>
    <w:rsid w:val="00CD416F"/>
    <w:rsid w:val="00CD46A3"/>
    <w:rsid w:val="00CD46EB"/>
    <w:rsid w:val="00CD5820"/>
    <w:rsid w:val="00CD5C76"/>
    <w:rsid w:val="00CD7EBF"/>
    <w:rsid w:val="00CE1C03"/>
    <w:rsid w:val="00CE2C44"/>
    <w:rsid w:val="00CE2E40"/>
    <w:rsid w:val="00CE69BA"/>
    <w:rsid w:val="00CE6E27"/>
    <w:rsid w:val="00CF1356"/>
    <w:rsid w:val="00CF1642"/>
    <w:rsid w:val="00CF1C26"/>
    <w:rsid w:val="00CF1F47"/>
    <w:rsid w:val="00CF213D"/>
    <w:rsid w:val="00CF22AD"/>
    <w:rsid w:val="00CF3890"/>
    <w:rsid w:val="00CF4F6B"/>
    <w:rsid w:val="00D00C3A"/>
    <w:rsid w:val="00D01A1B"/>
    <w:rsid w:val="00D02A83"/>
    <w:rsid w:val="00D04394"/>
    <w:rsid w:val="00D056F1"/>
    <w:rsid w:val="00D0760A"/>
    <w:rsid w:val="00D11171"/>
    <w:rsid w:val="00D11A9D"/>
    <w:rsid w:val="00D13942"/>
    <w:rsid w:val="00D1422F"/>
    <w:rsid w:val="00D14943"/>
    <w:rsid w:val="00D14BD5"/>
    <w:rsid w:val="00D15FB4"/>
    <w:rsid w:val="00D21254"/>
    <w:rsid w:val="00D22F3C"/>
    <w:rsid w:val="00D23DB6"/>
    <w:rsid w:val="00D25246"/>
    <w:rsid w:val="00D31585"/>
    <w:rsid w:val="00D322FB"/>
    <w:rsid w:val="00D337D0"/>
    <w:rsid w:val="00D33924"/>
    <w:rsid w:val="00D3776E"/>
    <w:rsid w:val="00D426D4"/>
    <w:rsid w:val="00D43FE6"/>
    <w:rsid w:val="00D44F7B"/>
    <w:rsid w:val="00D45129"/>
    <w:rsid w:val="00D45710"/>
    <w:rsid w:val="00D45C57"/>
    <w:rsid w:val="00D47E6C"/>
    <w:rsid w:val="00D51A95"/>
    <w:rsid w:val="00D51B28"/>
    <w:rsid w:val="00D54BE9"/>
    <w:rsid w:val="00D55B10"/>
    <w:rsid w:val="00D60568"/>
    <w:rsid w:val="00D64089"/>
    <w:rsid w:val="00D66ED2"/>
    <w:rsid w:val="00D70C7A"/>
    <w:rsid w:val="00D71137"/>
    <w:rsid w:val="00D7440B"/>
    <w:rsid w:val="00D77D49"/>
    <w:rsid w:val="00D8130F"/>
    <w:rsid w:val="00D81D38"/>
    <w:rsid w:val="00D8529B"/>
    <w:rsid w:val="00D85C72"/>
    <w:rsid w:val="00D87BB3"/>
    <w:rsid w:val="00D93D77"/>
    <w:rsid w:val="00D96771"/>
    <w:rsid w:val="00DA10A8"/>
    <w:rsid w:val="00DA408E"/>
    <w:rsid w:val="00DA6DCB"/>
    <w:rsid w:val="00DB0CBC"/>
    <w:rsid w:val="00DB1E08"/>
    <w:rsid w:val="00DB2603"/>
    <w:rsid w:val="00DB2973"/>
    <w:rsid w:val="00DB683A"/>
    <w:rsid w:val="00DC01E7"/>
    <w:rsid w:val="00DC1B56"/>
    <w:rsid w:val="00DC2129"/>
    <w:rsid w:val="00DC2C3C"/>
    <w:rsid w:val="00DC5227"/>
    <w:rsid w:val="00DC5A32"/>
    <w:rsid w:val="00DC6570"/>
    <w:rsid w:val="00DC73DB"/>
    <w:rsid w:val="00DD042B"/>
    <w:rsid w:val="00DD3C5E"/>
    <w:rsid w:val="00DD407D"/>
    <w:rsid w:val="00DD4FBF"/>
    <w:rsid w:val="00DE045F"/>
    <w:rsid w:val="00DE13FE"/>
    <w:rsid w:val="00DE1CA0"/>
    <w:rsid w:val="00DE36D0"/>
    <w:rsid w:val="00DE4C17"/>
    <w:rsid w:val="00DE5878"/>
    <w:rsid w:val="00DE7CD6"/>
    <w:rsid w:val="00DF006B"/>
    <w:rsid w:val="00DF2256"/>
    <w:rsid w:val="00DF25C3"/>
    <w:rsid w:val="00DF7BED"/>
    <w:rsid w:val="00E01502"/>
    <w:rsid w:val="00E0278C"/>
    <w:rsid w:val="00E034A4"/>
    <w:rsid w:val="00E04062"/>
    <w:rsid w:val="00E063C6"/>
    <w:rsid w:val="00E066BA"/>
    <w:rsid w:val="00E07016"/>
    <w:rsid w:val="00E076AC"/>
    <w:rsid w:val="00E07920"/>
    <w:rsid w:val="00E105ED"/>
    <w:rsid w:val="00E11C43"/>
    <w:rsid w:val="00E1383B"/>
    <w:rsid w:val="00E16FF1"/>
    <w:rsid w:val="00E2003B"/>
    <w:rsid w:val="00E20119"/>
    <w:rsid w:val="00E203C2"/>
    <w:rsid w:val="00E208F7"/>
    <w:rsid w:val="00E211C5"/>
    <w:rsid w:val="00E250BD"/>
    <w:rsid w:val="00E2756C"/>
    <w:rsid w:val="00E279D8"/>
    <w:rsid w:val="00E319B1"/>
    <w:rsid w:val="00E348AC"/>
    <w:rsid w:val="00E40260"/>
    <w:rsid w:val="00E435CE"/>
    <w:rsid w:val="00E44E0D"/>
    <w:rsid w:val="00E45D9F"/>
    <w:rsid w:val="00E4626E"/>
    <w:rsid w:val="00E50E12"/>
    <w:rsid w:val="00E50E88"/>
    <w:rsid w:val="00E525F7"/>
    <w:rsid w:val="00E5492F"/>
    <w:rsid w:val="00E62A0A"/>
    <w:rsid w:val="00E62AF7"/>
    <w:rsid w:val="00E62DEF"/>
    <w:rsid w:val="00E634D4"/>
    <w:rsid w:val="00E63684"/>
    <w:rsid w:val="00E64FE2"/>
    <w:rsid w:val="00E66F6D"/>
    <w:rsid w:val="00E67D67"/>
    <w:rsid w:val="00E70420"/>
    <w:rsid w:val="00E70A86"/>
    <w:rsid w:val="00E710ED"/>
    <w:rsid w:val="00E7196B"/>
    <w:rsid w:val="00E72BF6"/>
    <w:rsid w:val="00E72CDB"/>
    <w:rsid w:val="00E73470"/>
    <w:rsid w:val="00E73C63"/>
    <w:rsid w:val="00E742EA"/>
    <w:rsid w:val="00E76BE8"/>
    <w:rsid w:val="00E777EC"/>
    <w:rsid w:val="00E8011B"/>
    <w:rsid w:val="00E80FCD"/>
    <w:rsid w:val="00E81E82"/>
    <w:rsid w:val="00E82193"/>
    <w:rsid w:val="00E82FE1"/>
    <w:rsid w:val="00E85652"/>
    <w:rsid w:val="00E86085"/>
    <w:rsid w:val="00E8776C"/>
    <w:rsid w:val="00E8778B"/>
    <w:rsid w:val="00E95EA0"/>
    <w:rsid w:val="00EA22AF"/>
    <w:rsid w:val="00EA2956"/>
    <w:rsid w:val="00EA41FC"/>
    <w:rsid w:val="00EA46D1"/>
    <w:rsid w:val="00EA7820"/>
    <w:rsid w:val="00EA7F2F"/>
    <w:rsid w:val="00EB11C2"/>
    <w:rsid w:val="00EB20A0"/>
    <w:rsid w:val="00EB361F"/>
    <w:rsid w:val="00EB3758"/>
    <w:rsid w:val="00EB63AA"/>
    <w:rsid w:val="00EB792C"/>
    <w:rsid w:val="00EC00DE"/>
    <w:rsid w:val="00EC2B7C"/>
    <w:rsid w:val="00EC30E1"/>
    <w:rsid w:val="00EC3E2B"/>
    <w:rsid w:val="00EC53CF"/>
    <w:rsid w:val="00EC58DF"/>
    <w:rsid w:val="00EC675A"/>
    <w:rsid w:val="00ED10C2"/>
    <w:rsid w:val="00ED16C0"/>
    <w:rsid w:val="00ED172A"/>
    <w:rsid w:val="00ED22D7"/>
    <w:rsid w:val="00ED24F9"/>
    <w:rsid w:val="00ED438D"/>
    <w:rsid w:val="00ED4900"/>
    <w:rsid w:val="00ED4B17"/>
    <w:rsid w:val="00ED5B82"/>
    <w:rsid w:val="00EE3124"/>
    <w:rsid w:val="00EE3F17"/>
    <w:rsid w:val="00EE5B1F"/>
    <w:rsid w:val="00EE7B5A"/>
    <w:rsid w:val="00EF472B"/>
    <w:rsid w:val="00F01CB8"/>
    <w:rsid w:val="00F02AC1"/>
    <w:rsid w:val="00F05742"/>
    <w:rsid w:val="00F06A41"/>
    <w:rsid w:val="00F116E8"/>
    <w:rsid w:val="00F11F6C"/>
    <w:rsid w:val="00F14118"/>
    <w:rsid w:val="00F14BEC"/>
    <w:rsid w:val="00F15A27"/>
    <w:rsid w:val="00F15E79"/>
    <w:rsid w:val="00F16110"/>
    <w:rsid w:val="00F173F0"/>
    <w:rsid w:val="00F21448"/>
    <w:rsid w:val="00F225C5"/>
    <w:rsid w:val="00F24300"/>
    <w:rsid w:val="00F24A11"/>
    <w:rsid w:val="00F2587A"/>
    <w:rsid w:val="00F27AFC"/>
    <w:rsid w:val="00F339FE"/>
    <w:rsid w:val="00F3569B"/>
    <w:rsid w:val="00F3715D"/>
    <w:rsid w:val="00F40E36"/>
    <w:rsid w:val="00F41874"/>
    <w:rsid w:val="00F420C8"/>
    <w:rsid w:val="00F42A4C"/>
    <w:rsid w:val="00F43586"/>
    <w:rsid w:val="00F440DA"/>
    <w:rsid w:val="00F453FC"/>
    <w:rsid w:val="00F50A7B"/>
    <w:rsid w:val="00F51931"/>
    <w:rsid w:val="00F5232A"/>
    <w:rsid w:val="00F563B5"/>
    <w:rsid w:val="00F564A4"/>
    <w:rsid w:val="00F566E9"/>
    <w:rsid w:val="00F56E9A"/>
    <w:rsid w:val="00F604DE"/>
    <w:rsid w:val="00F63A45"/>
    <w:rsid w:val="00F64DE4"/>
    <w:rsid w:val="00F65536"/>
    <w:rsid w:val="00F65CF2"/>
    <w:rsid w:val="00F66D69"/>
    <w:rsid w:val="00F67370"/>
    <w:rsid w:val="00F67C12"/>
    <w:rsid w:val="00F702B5"/>
    <w:rsid w:val="00F70554"/>
    <w:rsid w:val="00F71310"/>
    <w:rsid w:val="00F7161A"/>
    <w:rsid w:val="00F7537B"/>
    <w:rsid w:val="00F91273"/>
    <w:rsid w:val="00F92101"/>
    <w:rsid w:val="00F948FA"/>
    <w:rsid w:val="00F955BB"/>
    <w:rsid w:val="00F97515"/>
    <w:rsid w:val="00FA2729"/>
    <w:rsid w:val="00FA3F1C"/>
    <w:rsid w:val="00FA72A0"/>
    <w:rsid w:val="00FB04B4"/>
    <w:rsid w:val="00FB17A4"/>
    <w:rsid w:val="00FB3CE1"/>
    <w:rsid w:val="00FB6589"/>
    <w:rsid w:val="00FB7512"/>
    <w:rsid w:val="00FC18B9"/>
    <w:rsid w:val="00FC66D6"/>
    <w:rsid w:val="00FC6B1E"/>
    <w:rsid w:val="00FC6D0D"/>
    <w:rsid w:val="00FC7260"/>
    <w:rsid w:val="00FC7CF3"/>
    <w:rsid w:val="00FD0538"/>
    <w:rsid w:val="00FD2A19"/>
    <w:rsid w:val="00FD3021"/>
    <w:rsid w:val="00FD3386"/>
    <w:rsid w:val="00FD38BD"/>
    <w:rsid w:val="00FD51A5"/>
    <w:rsid w:val="00FD57B9"/>
    <w:rsid w:val="00FD60E7"/>
    <w:rsid w:val="00FD7547"/>
    <w:rsid w:val="00FE2483"/>
    <w:rsid w:val="00FE3070"/>
    <w:rsid w:val="00FE451A"/>
    <w:rsid w:val="00FE4E91"/>
    <w:rsid w:val="00FE60EC"/>
    <w:rsid w:val="00FF0A9B"/>
    <w:rsid w:val="00FF389F"/>
    <w:rsid w:val="00FF4EC3"/>
    <w:rsid w:val="00FF5F5C"/>
    <w:rsid w:val="00FF6B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annotation text" w:uiPriority="99"/>
    <w:lsdException w:name="caption" w:semiHidden="1" w:uiPriority="35" w:unhideWhenUsed="1" w:qFormat="1"/>
    <w:lsdException w:name="annotation reference" w:uiPriority="99"/>
    <w:lsdException w:name="Title" w:uiPriority="10"/>
    <w:lsdException w:name="Subtitle" w:uiPriority="11"/>
    <w:lsdException w:name="Hyperlink" w:uiPriority="99"/>
    <w:lsdException w:name="FollowedHyperlink" w:uiPriority="99"/>
    <w:lsdException w:name="Strong" w:uiPriority="22"/>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A1F13"/>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nhideWhenUsed/>
    <w:qFormat/>
    <w:rsid w:val="00547A38"/>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680F3A"/>
    <w:pPr>
      <w:keepNext/>
      <w:spacing w:before="240" w:after="240"/>
      <w:ind w:left="851" w:hanging="851"/>
      <w:outlineLvl w:val="2"/>
    </w:pPr>
    <w:rPr>
      <w:rFonts w:eastAsiaTheme="majorEastAsia"/>
      <w:b/>
      <w:bCs/>
      <w:iCs/>
      <w:color w:val="000000" w:themeColor="text1"/>
      <w:szCs w:val="28"/>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rsid w:val="00547A38"/>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680F3A"/>
    <w:rPr>
      <w:rFonts w:ascii="Arial" w:eastAsiaTheme="majorEastAsia" w:hAnsi="Arial"/>
      <w:b/>
      <w:bCs/>
      <w:iCs/>
      <w:color w:val="000000" w:themeColor="text1"/>
      <w:sz w:val="22"/>
      <w:szCs w:val="28"/>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Title">
    <w:name w:val="FS Title"/>
    <w:basedOn w:val="Normal"/>
    <w:qFormat/>
    <w:rsid w:val="00690206"/>
    <w:rPr>
      <w:rFonts w:cs="Tahoma"/>
      <w:bCs/>
      <w:sz w:val="32"/>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basedOn w:val="Normal"/>
    <w:link w:val="FooterChar"/>
    <w:rsid w:val="00690206"/>
    <w:pPr>
      <w:tabs>
        <w:tab w:val="center" w:pos="4153"/>
        <w:tab w:val="right" w:pos="8306"/>
      </w:tabs>
    </w:pPr>
    <w:rPr>
      <w:sz w:val="20"/>
    </w:rPr>
  </w:style>
  <w:style w:type="character" w:customStyle="1" w:styleId="FooterChar">
    <w:name w:val="Footer Char"/>
    <w:basedOn w:val="DefaultParagraphFont"/>
    <w:link w:val="Footer"/>
    <w:rsid w:val="00A128B3"/>
    <w:rPr>
      <w:rFonts w:ascii="Arial" w:hAnsi="Arial"/>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sid w:val="00A128B3"/>
    <w:rPr>
      <w:rFonts w:ascii="Arial" w:hAnsi="Arial"/>
      <w:lang w:eastAsia="en-US" w:bidi="en-US"/>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A128B3"/>
    <w:rPr>
      <w:rFonts w:ascii="Tahoma" w:hAnsi="Tahoma" w:cs="Tahoma"/>
      <w:sz w:val="16"/>
      <w:szCs w:val="16"/>
      <w:lang w:eastAsia="en-US" w:bidi="en-US"/>
    </w:rPr>
  </w:style>
  <w:style w:type="paragraph" w:styleId="TOCHeading">
    <w:name w:val="TOC Heading"/>
    <w:basedOn w:val="Heading1"/>
    <w:next w:val="Normal"/>
    <w:uiPriority w:val="39"/>
    <w:unhideWhenUsed/>
    <w:qFormat/>
    <w:rsid w:val="00B731D3"/>
    <w:pPr>
      <w:outlineLvl w:val="9"/>
    </w:pPr>
  </w:style>
  <w:style w:type="paragraph" w:customStyle="1" w:styleId="FSBullet">
    <w:name w:val="FS Bullet"/>
    <w:basedOn w:val="Normal"/>
    <w:next w:val="Normal"/>
    <w:link w:val="FSBulletChar"/>
    <w:qFormat/>
    <w:rsid w:val="00E2003B"/>
    <w:pPr>
      <w:numPr>
        <w:numId w:val="1"/>
      </w:numPr>
      <w:ind w:left="567" w:hanging="567"/>
    </w:pPr>
    <w:rPr>
      <w:rFonts w:cs="Arial"/>
    </w:rPr>
  </w:style>
  <w:style w:type="character" w:customStyle="1" w:styleId="FSBulletChar">
    <w:name w:val="FS Bullet Char"/>
    <w:basedOn w:val="DefaultParagraphFont"/>
    <w:link w:val="FSBullet"/>
    <w:rsid w:val="00E2003B"/>
    <w:rPr>
      <w:rFonts w:ascii="Arial" w:hAnsi="Arial" w:cs="Arial"/>
      <w:sz w:val="22"/>
      <w:szCs w:val="24"/>
      <w:lang w:eastAsia="en-US" w:bidi="en-US"/>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qFormat/>
    <w:rsid w:val="0029631C"/>
    <w:pPr>
      <w:widowControl/>
      <w:numPr>
        <w:numId w:val="2"/>
      </w:numPr>
      <w:ind w:left="567" w:hanging="567"/>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3"/>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4"/>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Emphasis">
    <w:name w:val="Emphasis"/>
    <w:basedOn w:val="DefaultParagraphFont"/>
    <w:qFormat/>
    <w:rsid w:val="00A128B3"/>
    <w:rPr>
      <w:i/>
      <w:iCs/>
    </w:rPr>
  </w:style>
  <w:style w:type="paragraph" w:styleId="HTMLPreformatted">
    <w:name w:val="HTML Preformatted"/>
    <w:basedOn w:val="Normal"/>
    <w:link w:val="HTMLPreformattedChar"/>
    <w:rsid w:val="00A128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bidi="ar-SA"/>
    </w:rPr>
  </w:style>
  <w:style w:type="character" w:customStyle="1" w:styleId="HTMLPreformattedChar">
    <w:name w:val="HTML Preformatted Char"/>
    <w:basedOn w:val="DefaultParagraphFont"/>
    <w:link w:val="HTMLPreformatted"/>
    <w:rsid w:val="00A128B3"/>
    <w:rPr>
      <w:rFonts w:ascii="Courier New" w:hAnsi="Courier New" w:cs="Courier New"/>
      <w:lang w:val="en-AU" w:eastAsia="en-AU"/>
    </w:rPr>
  </w:style>
  <w:style w:type="paragraph" w:styleId="ListParagraph">
    <w:name w:val="List Paragraph"/>
    <w:basedOn w:val="Normal"/>
    <w:uiPriority w:val="34"/>
    <w:qFormat/>
    <w:rsid w:val="00A128B3"/>
    <w:pPr>
      <w:widowControl/>
      <w:ind w:left="720"/>
      <w:contextualSpacing/>
    </w:pPr>
    <w:rPr>
      <w:lang w:bidi="ar-SA"/>
    </w:rPr>
  </w:style>
  <w:style w:type="paragraph" w:customStyle="1" w:styleId="Two">
    <w:name w:val="Two"/>
    <w:basedOn w:val="Heading2"/>
    <w:link w:val="TwoChar"/>
    <w:autoRedefine/>
    <w:qFormat/>
    <w:rsid w:val="00F02AC1"/>
    <w:pPr>
      <w:keepLines/>
      <w:widowControl/>
      <w:numPr>
        <w:ilvl w:val="1"/>
      </w:numPr>
      <w:ind w:left="851" w:hanging="851"/>
    </w:pPr>
    <w:rPr>
      <w:rFonts w:eastAsiaTheme="majorEastAsia"/>
      <w:szCs w:val="28"/>
      <w:lang w:val="en-AU" w:bidi="en-US"/>
    </w:rPr>
  </w:style>
  <w:style w:type="character" w:customStyle="1" w:styleId="TwoChar">
    <w:name w:val="Two Char"/>
    <w:basedOn w:val="DefaultParagraphFont"/>
    <w:link w:val="Two"/>
    <w:rsid w:val="00F02AC1"/>
    <w:rPr>
      <w:rFonts w:ascii="Arial" w:eastAsiaTheme="majorEastAsia" w:hAnsi="Arial" w:cs="Arial"/>
      <w:b/>
      <w:bCs/>
      <w:sz w:val="28"/>
      <w:szCs w:val="28"/>
      <w:lang w:val="en-AU" w:eastAsia="en-US" w:bidi="en-US"/>
    </w:rPr>
  </w:style>
  <w:style w:type="table" w:customStyle="1" w:styleId="TableGrid1">
    <w:name w:val="Table Grid1"/>
    <w:basedOn w:val="TableNormal"/>
    <w:next w:val="TableGrid"/>
    <w:uiPriority w:val="59"/>
    <w:rsid w:val="008850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23403"/>
    <w:rPr>
      <w:rFonts w:eastAsia="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2C2DE5"/>
    <w:rPr>
      <w:rFonts w:eastAsia="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A3E94"/>
    <w:rPr>
      <w:rFonts w:eastAsia="Calibri"/>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D7A25"/>
    <w:rPr>
      <w:rFonts w:eastAsia="Calibri"/>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00B1"/>
    <w:rPr>
      <w:rFonts w:ascii="Arial" w:hAnsi="Arial"/>
      <w:sz w:val="22"/>
      <w:szCs w:val="24"/>
      <w:lang w:eastAsia="en-US" w:bidi="en-US"/>
    </w:rPr>
  </w:style>
  <w:style w:type="table" w:styleId="LightShading-Accent3">
    <w:name w:val="Light Shading Accent 3"/>
    <w:basedOn w:val="TableNormal"/>
    <w:uiPriority w:val="60"/>
    <w:rsid w:val="00CD5C76"/>
    <w:rPr>
      <w:rFonts w:ascii="Times New Roman" w:eastAsia="Calibri" w:hAnsi="Times New Roman"/>
      <w:color w:val="76923C" w:themeColor="accent3" w:themeShade="BF"/>
      <w:sz w:val="24"/>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1">
    <w:name w:val="Table Grid31"/>
    <w:basedOn w:val="TableNormal"/>
    <w:next w:val="TableGrid"/>
    <w:uiPriority w:val="59"/>
    <w:rsid w:val="00441601"/>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annotation text" w:uiPriority="99"/>
    <w:lsdException w:name="caption" w:semiHidden="1" w:uiPriority="35" w:unhideWhenUsed="1" w:qFormat="1"/>
    <w:lsdException w:name="annotation reference" w:uiPriority="99"/>
    <w:lsdException w:name="Title" w:uiPriority="10"/>
    <w:lsdException w:name="Subtitle" w:uiPriority="11"/>
    <w:lsdException w:name="Hyperlink" w:uiPriority="99"/>
    <w:lsdException w:name="FollowedHyperlink" w:uiPriority="99"/>
    <w:lsdException w:name="Strong" w:uiPriority="22"/>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BA1F13"/>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180C41"/>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autoRedefine/>
    <w:unhideWhenUsed/>
    <w:qFormat/>
    <w:rsid w:val="00547A38"/>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autoRedefine/>
    <w:uiPriority w:val="9"/>
    <w:unhideWhenUsed/>
    <w:qFormat/>
    <w:rsid w:val="00680F3A"/>
    <w:pPr>
      <w:keepNext/>
      <w:spacing w:before="240" w:after="240"/>
      <w:ind w:left="851" w:hanging="851"/>
      <w:outlineLvl w:val="2"/>
    </w:pPr>
    <w:rPr>
      <w:rFonts w:eastAsiaTheme="majorEastAsia"/>
      <w:b/>
      <w:bCs/>
      <w:iCs/>
      <w:color w:val="000000" w:themeColor="text1"/>
      <w:szCs w:val="28"/>
      <w:lang w:eastAsia="en-AU" w:bidi="ar-SA"/>
    </w:rPr>
  </w:style>
  <w:style w:type="paragraph" w:styleId="Heading4">
    <w:name w:val="heading 4"/>
    <w:aliases w:val="FSHeading 4,Subheading 2"/>
    <w:basedOn w:val="Normal"/>
    <w:next w:val="Normal"/>
    <w:link w:val="Heading4Char"/>
    <w:uiPriority w:val="9"/>
    <w:unhideWhenUsed/>
    <w:qFormat/>
    <w:rsid w:val="007C174F"/>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7C174F"/>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180C41"/>
    <w:rPr>
      <w:rFonts w:ascii="Arial" w:hAnsi="Arial"/>
      <w:b/>
      <w:bCs/>
      <w:sz w:val="36"/>
      <w:szCs w:val="28"/>
      <w:lang w:eastAsia="en-US"/>
    </w:rPr>
  </w:style>
  <w:style w:type="character" w:customStyle="1" w:styleId="Heading2Char">
    <w:name w:val="Heading 2 Char"/>
    <w:aliases w:val="FSHeading 2 Char,Section heading Char"/>
    <w:link w:val="Heading2"/>
    <w:rsid w:val="00547A38"/>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680F3A"/>
    <w:rPr>
      <w:rFonts w:ascii="Arial" w:eastAsiaTheme="majorEastAsia" w:hAnsi="Arial"/>
      <w:b/>
      <w:bCs/>
      <w:iCs/>
      <w:color w:val="000000" w:themeColor="text1"/>
      <w:sz w:val="22"/>
      <w:szCs w:val="28"/>
      <w:lang w:eastAsia="en-AU"/>
    </w:rPr>
  </w:style>
  <w:style w:type="character" w:customStyle="1" w:styleId="Heading4Char">
    <w:name w:val="Heading 4 Char"/>
    <w:aliases w:val="FSHeading 4 Char,Subheading 2 Char"/>
    <w:link w:val="Heading4"/>
    <w:uiPriority w:val="9"/>
    <w:rsid w:val="007C174F"/>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7C174F"/>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0A27E9"/>
    <w:rPr>
      <w:rFonts w:ascii="Arial" w:hAnsi="Arial"/>
      <w:color w:val="3333FF"/>
      <w:u w:val="single"/>
    </w:rPr>
  </w:style>
  <w:style w:type="paragraph" w:styleId="Header">
    <w:name w:val="header"/>
    <w:basedOn w:val="Normal"/>
    <w:link w:val="HeaderChar"/>
    <w:rsid w:val="00E777EC"/>
  </w:style>
  <w:style w:type="character" w:customStyle="1" w:styleId="HeaderChar">
    <w:name w:val="Header Char"/>
    <w:basedOn w:val="DefaultParagraphFont"/>
    <w:link w:val="Header"/>
    <w:rsid w:val="007D03EA"/>
    <w:rPr>
      <w:rFonts w:ascii="Arial" w:hAnsi="Arial"/>
      <w:sz w:val="22"/>
      <w:szCs w:val="24"/>
      <w:lang w:eastAsia="en-US" w:bidi="en-US"/>
    </w:rPr>
  </w:style>
  <w:style w:type="paragraph" w:customStyle="1" w:styleId="FSTitle">
    <w:name w:val="FS Title"/>
    <w:basedOn w:val="Normal"/>
    <w:qFormat/>
    <w:rsid w:val="00690206"/>
    <w:rPr>
      <w:rFonts w:cs="Tahoma"/>
      <w:bCs/>
      <w:sz w:val="32"/>
    </w:rPr>
  </w:style>
  <w:style w:type="paragraph" w:customStyle="1" w:styleId="FSDash">
    <w:name w:val="FS Dash"/>
    <w:basedOn w:val="Normal"/>
    <w:qFormat/>
    <w:rsid w:val="007602AA"/>
    <w:pPr>
      <w:ind w:left="1134" w:hanging="567"/>
    </w:pPr>
  </w:style>
  <w:style w:type="paragraph" w:styleId="TOC1">
    <w:name w:val="toc 1"/>
    <w:basedOn w:val="Normal"/>
    <w:next w:val="Normal"/>
    <w:autoRedefine/>
    <w:uiPriority w:val="39"/>
    <w:rsid w:val="00B25F37"/>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035FF3"/>
    <w:pPr>
      <w:ind w:left="220"/>
    </w:pPr>
    <w:rPr>
      <w:rFonts w:asciiTheme="minorHAnsi" w:hAnsiTheme="minorHAnsi" w:cstheme="minorHAnsi"/>
      <w:smallCaps/>
      <w:sz w:val="20"/>
      <w:szCs w:val="20"/>
    </w:rPr>
  </w:style>
  <w:style w:type="paragraph" w:styleId="Footer">
    <w:name w:val="footer"/>
    <w:basedOn w:val="Normal"/>
    <w:link w:val="FooterChar"/>
    <w:rsid w:val="00690206"/>
    <w:pPr>
      <w:tabs>
        <w:tab w:val="center" w:pos="4153"/>
        <w:tab w:val="right" w:pos="8306"/>
      </w:tabs>
    </w:pPr>
    <w:rPr>
      <w:sz w:val="20"/>
    </w:rPr>
  </w:style>
  <w:style w:type="character" w:customStyle="1" w:styleId="FooterChar">
    <w:name w:val="Footer Char"/>
    <w:basedOn w:val="DefaultParagraphFont"/>
    <w:link w:val="Footer"/>
    <w:rsid w:val="00A128B3"/>
    <w:rPr>
      <w:rFonts w:ascii="Arial" w:hAnsi="Arial"/>
      <w:szCs w:val="24"/>
      <w:lang w:eastAsia="en-US" w:bidi="en-US"/>
    </w:rPr>
  </w:style>
  <w:style w:type="character" w:styleId="PageNumber">
    <w:name w:val="page number"/>
    <w:basedOn w:val="DefaultParagraphFont"/>
    <w:rsid w:val="006A48A7"/>
    <w:rPr>
      <w:rFonts w:ascii="Arial" w:hAnsi="Arial"/>
    </w:rPr>
  </w:style>
  <w:style w:type="paragraph" w:styleId="TOC3">
    <w:name w:val="toc 3"/>
    <w:basedOn w:val="Normal"/>
    <w:next w:val="Normal"/>
    <w:autoRedefine/>
    <w:uiPriority w:val="39"/>
    <w:pPr>
      <w:ind w:left="440"/>
    </w:pPr>
    <w:rPr>
      <w:rFonts w:asciiTheme="minorHAnsi" w:hAnsiTheme="minorHAnsi" w:cstheme="minorHAnsi"/>
      <w:i/>
      <w:iCs/>
      <w:sz w:val="20"/>
      <w:szCs w:val="20"/>
    </w:rPr>
  </w:style>
  <w:style w:type="paragraph" w:styleId="TOC4">
    <w:name w:val="toc 4"/>
    <w:basedOn w:val="Normal"/>
    <w:next w:val="Normal"/>
    <w:autoRedefine/>
    <w:semiHidden/>
    <w:pPr>
      <w:ind w:left="660"/>
    </w:pPr>
    <w:rPr>
      <w:rFonts w:asciiTheme="minorHAnsi" w:hAnsiTheme="minorHAnsi" w:cstheme="minorHAnsi"/>
      <w:sz w:val="18"/>
      <w:szCs w:val="18"/>
    </w:rPr>
  </w:style>
  <w:style w:type="paragraph" w:styleId="TOC5">
    <w:name w:val="toc 5"/>
    <w:basedOn w:val="Normal"/>
    <w:next w:val="Normal"/>
    <w:autoRedefine/>
    <w:semiHidden/>
    <w:pPr>
      <w:ind w:left="880"/>
    </w:pPr>
    <w:rPr>
      <w:rFonts w:asciiTheme="minorHAnsi" w:hAnsiTheme="minorHAnsi" w:cstheme="minorHAnsi"/>
      <w:sz w:val="18"/>
      <w:szCs w:val="18"/>
    </w:rPr>
  </w:style>
  <w:style w:type="character" w:styleId="FollowedHyperlink">
    <w:name w:val="FollowedHyperlink"/>
    <w:basedOn w:val="DefaultParagraphFont"/>
    <w:uiPriority w:val="99"/>
    <w:rsid w:val="00203540"/>
    <w:rPr>
      <w:rFonts w:ascii="Arial" w:hAnsi="Arial"/>
      <w:color w:val="3333FF"/>
      <w:sz w:val="22"/>
      <w:u w:val="single"/>
    </w:rPr>
  </w:style>
  <w:style w:type="paragraph" w:styleId="TOC6">
    <w:name w:val="toc 6"/>
    <w:basedOn w:val="Normal"/>
    <w:next w:val="Normal"/>
    <w:autoRedefine/>
    <w:semiHidden/>
    <w:pPr>
      <w:ind w:left="1100"/>
    </w:pPr>
    <w:rPr>
      <w:rFonts w:asciiTheme="minorHAnsi" w:hAnsiTheme="minorHAnsi" w:cstheme="minorHAnsi"/>
      <w:sz w:val="18"/>
      <w:szCs w:val="18"/>
    </w:rPr>
  </w:style>
  <w:style w:type="paragraph" w:customStyle="1" w:styleId="142Tableheading2">
    <w:name w:val="1.4.2 Table heading2"/>
    <w:basedOn w:val="Normal"/>
    <w:pPr>
      <w:keepNext/>
      <w:jc w:val="center"/>
    </w:pPr>
    <w:rPr>
      <w:iCs/>
      <w:smallCaps/>
      <w:sz w:val="20"/>
      <w:szCs w:val="20"/>
    </w:rPr>
  </w:style>
  <w:style w:type="paragraph" w:customStyle="1" w:styleId="Box1">
    <w:name w:val="Box 1"/>
    <w:basedOn w:val="Normal"/>
    <w:pPr>
      <w:tabs>
        <w:tab w:val="num" w:pos="120"/>
      </w:tabs>
      <w:ind w:left="113" w:hanging="113"/>
    </w:pPr>
    <w:rPr>
      <w:sz w:val="16"/>
    </w:rPr>
  </w:style>
  <w:style w:type="paragraph" w:customStyle="1" w:styleId="Box2">
    <w:name w:val="Box 2"/>
    <w:basedOn w:val="Normal"/>
    <w:pPr>
      <w:tabs>
        <w:tab w:val="left" w:pos="4608"/>
        <w:tab w:val="left" w:pos="9180"/>
        <w:tab w:val="left" w:pos="9216"/>
      </w:tabs>
      <w:jc w:val="center"/>
    </w:pPr>
    <w:rPr>
      <w:b/>
      <w:bCs/>
      <w:i/>
      <w:iCs/>
      <w:color w:val="000000"/>
      <w:sz w:val="16"/>
    </w:rPr>
  </w:style>
  <w:style w:type="paragraph" w:customStyle="1" w:styleId="Box3">
    <w:name w:val="Box 3"/>
    <w:basedOn w:val="Normal"/>
    <w:pPr>
      <w:tabs>
        <w:tab w:val="left" w:pos="4608"/>
        <w:tab w:val="left" w:pos="9180"/>
        <w:tab w:val="left" w:pos="9216"/>
      </w:tabs>
      <w:jc w:val="center"/>
    </w:pPr>
    <w:rPr>
      <w:b/>
      <w:bCs/>
      <w:i/>
      <w:iCs/>
      <w:color w:val="000000"/>
      <w:sz w:val="16"/>
    </w:rPr>
  </w:style>
  <w:style w:type="paragraph" w:customStyle="1" w:styleId="142tableheading1">
    <w:name w:val="1.4.2 table heading1"/>
    <w:basedOn w:val="142Tableheading2"/>
    <w:rPr>
      <w:b/>
      <w:bCs/>
      <w:iCs w:val="0"/>
    </w:rPr>
  </w:style>
  <w:style w:type="paragraph" w:customStyle="1" w:styleId="142tabletext1">
    <w:name w:val="1.4.2 table text1"/>
    <w:basedOn w:val="Normal"/>
    <w:pPr>
      <w:ind w:left="142" w:hanging="142"/>
    </w:pPr>
    <w:rPr>
      <w:smallCaps/>
      <w:sz w:val="20"/>
      <w:szCs w:val="20"/>
    </w:rPr>
  </w:style>
  <w:style w:type="paragraph" w:customStyle="1" w:styleId="142tabletext2">
    <w:name w:val="1.4.2 table text2"/>
    <w:basedOn w:val="142tabletext1"/>
    <w:pPr>
      <w:jc w:val="right"/>
    </w:pPr>
  </w:style>
  <w:style w:type="paragraph" w:customStyle="1" w:styleId="Clause">
    <w:name w:val="Clause"/>
    <w:basedOn w:val="Normal"/>
    <w:next w:val="Normal"/>
    <w:pPr>
      <w:tabs>
        <w:tab w:val="left" w:pos="851"/>
      </w:tabs>
    </w:pPr>
    <w:rPr>
      <w:szCs w:val="20"/>
    </w:rPr>
  </w:style>
  <w:style w:type="paragraph" w:customStyle="1" w:styleId="Clauseheading">
    <w:name w:val="Clause heading"/>
    <w:basedOn w:val="Normal"/>
    <w:next w:val="Normal"/>
    <w:pPr>
      <w:tabs>
        <w:tab w:val="left" w:pos="851"/>
      </w:tabs>
    </w:pPr>
    <w:rPr>
      <w:b/>
      <w:szCs w:val="20"/>
    </w:rPr>
  </w:style>
  <w:style w:type="paragraph" w:customStyle="1" w:styleId="ClauseList">
    <w:name w:val="Clause List"/>
    <w:basedOn w:val="Clause"/>
    <w:next w:val="Normal"/>
  </w:style>
  <w:style w:type="paragraph" w:customStyle="1" w:styleId="Definition">
    <w:name w:val="Definition"/>
    <w:basedOn w:val="Normal"/>
    <w:next w:val="Normal"/>
    <w:pPr>
      <w:ind w:left="1701" w:hanging="851"/>
    </w:pPr>
    <w:rPr>
      <w:szCs w:val="20"/>
    </w:rPr>
  </w:style>
  <w:style w:type="paragraph" w:customStyle="1" w:styleId="DivisionHeading">
    <w:name w:val="Division Heading"/>
    <w:basedOn w:val="Normal"/>
    <w:next w:val="Normal"/>
    <w:pPr>
      <w:tabs>
        <w:tab w:val="left" w:pos="851"/>
      </w:tabs>
      <w:jc w:val="center"/>
    </w:pPr>
    <w:rPr>
      <w:b/>
      <w:sz w:val="28"/>
      <w:szCs w:val="20"/>
    </w:rPr>
  </w:style>
  <w:style w:type="paragraph" w:customStyle="1" w:styleId="EditorialNoteLine1">
    <w:name w:val="Editorial Note Line 1"/>
    <w:basedOn w:val="Normal"/>
    <w:next w:val="Normal"/>
    <w:pPr>
      <w:pBdr>
        <w:top w:val="single" w:sz="6" w:space="0" w:color="auto"/>
        <w:left w:val="single" w:sz="6" w:space="0" w:color="auto"/>
        <w:bottom w:val="single" w:sz="6" w:space="0" w:color="auto"/>
        <w:right w:val="single" w:sz="6" w:space="0" w:color="auto"/>
      </w:pBdr>
      <w:tabs>
        <w:tab w:val="left" w:pos="851"/>
      </w:tabs>
    </w:pPr>
    <w:rPr>
      <w:b/>
      <w:szCs w:val="20"/>
    </w:rPr>
  </w:style>
  <w:style w:type="paragraph" w:customStyle="1" w:styleId="EditorialNotetext">
    <w:name w:val="Editorial Note text"/>
    <w:basedOn w:val="EditorialNoteLine1"/>
    <w:rPr>
      <w:b w:val="0"/>
    </w:rPr>
  </w:style>
  <w:style w:type="paragraph" w:customStyle="1" w:styleId="Footnote">
    <w:name w:val="Footnote"/>
    <w:basedOn w:val="Normal"/>
    <w:pPr>
      <w:tabs>
        <w:tab w:val="left" w:pos="851"/>
      </w:tabs>
    </w:pPr>
    <w:rPr>
      <w:sz w:val="20"/>
      <w:szCs w:val="20"/>
    </w:rPr>
  </w:style>
  <w:style w:type="paragraph" w:customStyle="1" w:styleId="MiscellaneousHeading">
    <w:name w:val="Miscellaneous Heading"/>
    <w:basedOn w:val="Normal"/>
    <w:next w:val="Normal"/>
    <w:rPr>
      <w:b/>
      <w:szCs w:val="20"/>
    </w:rPr>
  </w:style>
  <w:style w:type="paragraph" w:customStyle="1" w:styleId="Paragraph">
    <w:name w:val="Paragraph"/>
    <w:basedOn w:val="Clause"/>
    <w:next w:val="Normal"/>
    <w:pPr>
      <w:tabs>
        <w:tab w:val="clear" w:pos="851"/>
      </w:tabs>
      <w:ind w:left="1702" w:hanging="851"/>
    </w:pPr>
  </w:style>
  <w:style w:type="paragraph" w:customStyle="1" w:styleId="ScheduleHeading">
    <w:name w:val="Schedule Heading"/>
    <w:basedOn w:val="Normal"/>
    <w:next w:val="Normal"/>
    <w:pPr>
      <w:tabs>
        <w:tab w:val="left" w:pos="851"/>
      </w:tabs>
      <w:jc w:val="center"/>
    </w:pPr>
    <w:rPr>
      <w:b/>
      <w:caps/>
      <w:szCs w:val="20"/>
    </w:rPr>
  </w:style>
  <w:style w:type="paragraph" w:customStyle="1" w:styleId="Standardtitle">
    <w:name w:val="Standard title"/>
    <w:basedOn w:val="Normal"/>
    <w:pPr>
      <w:tabs>
        <w:tab w:val="left" w:pos="851"/>
      </w:tabs>
      <w:jc w:val="center"/>
    </w:pPr>
    <w:rPr>
      <w:b/>
      <w:i/>
      <w:iCs/>
      <w:caps/>
      <w:sz w:val="28"/>
      <w:szCs w:val="20"/>
    </w:rPr>
  </w:style>
  <w:style w:type="paragraph" w:customStyle="1" w:styleId="Subclause">
    <w:name w:val="Subclause"/>
    <w:basedOn w:val="Clause"/>
    <w:pPr>
      <w:ind w:hanging="11"/>
    </w:pPr>
  </w:style>
  <w:style w:type="paragraph" w:customStyle="1" w:styleId="Subparagraph">
    <w:name w:val="Subparagraph"/>
    <w:basedOn w:val="Paragraph"/>
    <w:next w:val="Normal"/>
    <w:pPr>
      <w:ind w:left="2553"/>
    </w:pPr>
  </w:style>
  <w:style w:type="paragraph" w:customStyle="1" w:styleId="Table1">
    <w:name w:val="Table 1"/>
    <w:basedOn w:val="Normal"/>
    <w:pPr>
      <w:spacing w:after="120"/>
      <w:jc w:val="center"/>
    </w:pPr>
    <w:rPr>
      <w:b/>
      <w:bCs/>
      <w:sz w:val="20"/>
      <w:szCs w:val="20"/>
    </w:rPr>
  </w:style>
  <w:style w:type="paragraph" w:customStyle="1" w:styleId="Table2">
    <w:name w:val="Table 2"/>
    <w:basedOn w:val="Normal"/>
    <w:pPr>
      <w:ind w:left="142" w:hanging="142"/>
    </w:pPr>
    <w:rPr>
      <w:bCs/>
      <w:sz w:val="20"/>
      <w:szCs w:val="20"/>
    </w:rPr>
  </w:style>
  <w:style w:type="paragraph" w:customStyle="1" w:styleId="TableHeading">
    <w:name w:val="Table Heading"/>
    <w:basedOn w:val="Normal"/>
    <w:next w:val="Normal"/>
    <w:pPr>
      <w:tabs>
        <w:tab w:val="left" w:pos="851"/>
      </w:tabs>
      <w:jc w:val="center"/>
    </w:pPr>
    <w:rPr>
      <w:b/>
      <w:szCs w:val="20"/>
    </w:rPr>
  </w:style>
  <w:style w:type="paragraph" w:customStyle="1" w:styleId="TitleBorder">
    <w:name w:val="TitleBorder"/>
    <w:basedOn w:val="Normal"/>
    <w:pPr>
      <w:pBdr>
        <w:bottom w:val="double" w:sz="6" w:space="0" w:color="auto"/>
      </w:pBdr>
      <w:tabs>
        <w:tab w:val="left" w:pos="851"/>
      </w:tabs>
    </w:pPr>
    <w:rPr>
      <w:b/>
      <w:szCs w:val="20"/>
    </w:rPr>
  </w:style>
  <w:style w:type="paragraph" w:styleId="TOC7">
    <w:name w:val="toc 7"/>
    <w:basedOn w:val="Normal"/>
    <w:next w:val="Normal"/>
    <w:autoRedefine/>
    <w:semiHidden/>
    <w:pPr>
      <w:ind w:left="1320"/>
    </w:pPr>
    <w:rPr>
      <w:rFonts w:asciiTheme="minorHAnsi" w:hAnsiTheme="minorHAnsi" w:cstheme="minorHAnsi"/>
      <w:sz w:val="18"/>
      <w:szCs w:val="18"/>
    </w:rPr>
  </w:style>
  <w:style w:type="paragraph" w:styleId="TOC8">
    <w:name w:val="toc 8"/>
    <w:basedOn w:val="Normal"/>
    <w:next w:val="Normal"/>
    <w:autoRedefine/>
    <w:semiHidden/>
    <w:pPr>
      <w:ind w:left="1540"/>
    </w:pPr>
    <w:rPr>
      <w:rFonts w:asciiTheme="minorHAnsi" w:hAnsiTheme="minorHAnsi" w:cstheme="minorHAnsi"/>
      <w:sz w:val="18"/>
      <w:szCs w:val="18"/>
    </w:rPr>
  </w:style>
  <w:style w:type="paragraph" w:styleId="TOC9">
    <w:name w:val="toc 9"/>
    <w:basedOn w:val="Normal"/>
    <w:next w:val="Normal"/>
    <w:autoRedefine/>
    <w:semiHidden/>
    <w:pPr>
      <w:ind w:left="1760"/>
    </w:pPr>
    <w:rPr>
      <w:rFonts w:asciiTheme="minorHAnsi" w:hAnsiTheme="minorHAnsi" w:cstheme="minorHAnsi"/>
      <w:sz w:val="18"/>
      <w:szCs w:val="18"/>
    </w:rPr>
  </w:style>
  <w:style w:type="paragraph" w:styleId="FootnoteText">
    <w:name w:val="footnote text"/>
    <w:basedOn w:val="Normal"/>
    <w:link w:val="FootnoteTextChar"/>
    <w:semiHidden/>
    <w:rPr>
      <w:sz w:val="20"/>
      <w:szCs w:val="20"/>
    </w:rPr>
  </w:style>
  <w:style w:type="character" w:customStyle="1" w:styleId="FootnoteTextChar">
    <w:name w:val="Footnote Text Char"/>
    <w:basedOn w:val="DefaultParagraphFont"/>
    <w:link w:val="FootnoteText"/>
    <w:semiHidden/>
    <w:rsid w:val="00A128B3"/>
    <w:rPr>
      <w:rFonts w:ascii="Arial" w:hAnsi="Arial"/>
      <w:lang w:eastAsia="en-US" w:bidi="en-US"/>
    </w:rPr>
  </w:style>
  <w:style w:type="character" w:styleId="FootnoteReference">
    <w:name w:val="footnote reference"/>
    <w:basedOn w:val="DefaultParagraphFont"/>
    <w:semiHidden/>
    <w:rPr>
      <w:vertAlign w:val="superscript"/>
    </w:rPr>
  </w:style>
  <w:style w:type="paragraph" w:customStyle="1" w:styleId="FSDecisionHeading">
    <w:name w:val="FS Decision Heading"/>
    <w:basedOn w:val="Normal"/>
    <w:next w:val="FSDecisiontext"/>
    <w:qFormat/>
    <w:rsid w:val="003213F9"/>
    <w:pPr>
      <w:pBdr>
        <w:top w:val="single" w:sz="4" w:space="1" w:color="auto"/>
        <w:left w:val="single" w:sz="4" w:space="4" w:color="auto"/>
        <w:bottom w:val="single" w:sz="4" w:space="1" w:color="auto"/>
        <w:right w:val="single" w:sz="4" w:space="4" w:color="auto"/>
      </w:pBdr>
    </w:pPr>
    <w:rPr>
      <w:rFonts w:ascii="Arial Bold" w:hAnsi="Arial Bold"/>
      <w:b/>
      <w:bCs/>
    </w:rPr>
  </w:style>
  <w:style w:type="paragraph" w:customStyle="1" w:styleId="FSDecisiontext">
    <w:name w:val="FS Decision text"/>
    <w:basedOn w:val="Normal"/>
    <w:qFormat/>
    <w:rsid w:val="009F007E"/>
    <w:pPr>
      <w:pBdr>
        <w:top w:val="single" w:sz="4" w:space="1" w:color="auto"/>
        <w:left w:val="single" w:sz="4" w:space="4" w:color="auto"/>
        <w:bottom w:val="single" w:sz="4" w:space="1" w:color="auto"/>
        <w:right w:val="single" w:sz="4" w:space="4" w:color="auto"/>
      </w:pBdr>
    </w:pPr>
  </w:style>
  <w:style w:type="paragraph" w:styleId="BalloonText">
    <w:name w:val="Balloon Text"/>
    <w:basedOn w:val="Normal"/>
    <w:link w:val="BalloonTextChar"/>
    <w:uiPriority w:val="99"/>
    <w:semiHidden/>
    <w:rsid w:val="00BD2A39"/>
    <w:rPr>
      <w:rFonts w:ascii="Tahoma" w:hAnsi="Tahoma" w:cs="Tahoma"/>
      <w:sz w:val="16"/>
      <w:szCs w:val="16"/>
    </w:rPr>
  </w:style>
  <w:style w:type="character" w:customStyle="1" w:styleId="BalloonTextChar">
    <w:name w:val="Balloon Text Char"/>
    <w:basedOn w:val="DefaultParagraphFont"/>
    <w:link w:val="BalloonText"/>
    <w:uiPriority w:val="99"/>
    <w:semiHidden/>
    <w:rsid w:val="00A128B3"/>
    <w:rPr>
      <w:rFonts w:ascii="Tahoma" w:hAnsi="Tahoma" w:cs="Tahoma"/>
      <w:sz w:val="16"/>
      <w:szCs w:val="16"/>
      <w:lang w:eastAsia="en-US" w:bidi="en-US"/>
    </w:rPr>
  </w:style>
  <w:style w:type="paragraph" w:styleId="TOCHeading">
    <w:name w:val="TOC Heading"/>
    <w:basedOn w:val="Heading1"/>
    <w:next w:val="Normal"/>
    <w:uiPriority w:val="39"/>
    <w:unhideWhenUsed/>
    <w:qFormat/>
    <w:rsid w:val="00B731D3"/>
    <w:pPr>
      <w:outlineLvl w:val="9"/>
    </w:pPr>
  </w:style>
  <w:style w:type="paragraph" w:customStyle="1" w:styleId="FSBullet">
    <w:name w:val="FS Bullet"/>
    <w:basedOn w:val="Normal"/>
    <w:next w:val="Normal"/>
    <w:link w:val="FSBulletChar"/>
    <w:qFormat/>
    <w:rsid w:val="00E2003B"/>
    <w:pPr>
      <w:numPr>
        <w:numId w:val="1"/>
      </w:numPr>
      <w:ind w:left="567" w:hanging="567"/>
    </w:pPr>
    <w:rPr>
      <w:rFonts w:cs="Arial"/>
    </w:rPr>
  </w:style>
  <w:style w:type="character" w:customStyle="1" w:styleId="FSBulletChar">
    <w:name w:val="FS Bullet Char"/>
    <w:basedOn w:val="DefaultParagraphFont"/>
    <w:link w:val="FSBullet"/>
    <w:rsid w:val="00E2003B"/>
    <w:rPr>
      <w:rFonts w:ascii="Arial" w:hAnsi="Arial" w:cs="Arial"/>
      <w:sz w:val="22"/>
      <w:szCs w:val="24"/>
      <w:lang w:eastAsia="en-US" w:bidi="en-US"/>
    </w:r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5B6AF4"/>
    <w:pPr>
      <w:jc w:val="center"/>
    </w:pPr>
    <w:rPr>
      <w:rFonts w:ascii="Arial Bold" w:hAnsi="Arial Bold"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character" w:styleId="CommentReference">
    <w:name w:val="annotation reference"/>
    <w:basedOn w:val="DefaultParagraphFont"/>
    <w:uiPriority w:val="99"/>
    <w:rsid w:val="00AF387F"/>
    <w:rPr>
      <w:sz w:val="16"/>
      <w:szCs w:val="16"/>
    </w:rPr>
  </w:style>
  <w:style w:type="paragraph" w:styleId="CommentText">
    <w:name w:val="annotation text"/>
    <w:basedOn w:val="Normal"/>
    <w:link w:val="CommentTextChar"/>
    <w:uiPriority w:val="99"/>
    <w:rsid w:val="00AF387F"/>
    <w:rPr>
      <w:sz w:val="20"/>
      <w:szCs w:val="20"/>
    </w:rPr>
  </w:style>
  <w:style w:type="character" w:customStyle="1" w:styleId="CommentTextChar">
    <w:name w:val="Comment Text Char"/>
    <w:basedOn w:val="DefaultParagraphFont"/>
    <w:link w:val="CommentText"/>
    <w:uiPriority w:val="99"/>
    <w:rsid w:val="00AF387F"/>
    <w:rPr>
      <w:rFonts w:ascii="Arial" w:hAnsi="Arial"/>
      <w:lang w:eastAsia="en-US" w:bidi="en-US"/>
    </w:rPr>
  </w:style>
  <w:style w:type="paragraph" w:styleId="CommentSubject">
    <w:name w:val="annotation subject"/>
    <w:basedOn w:val="CommentText"/>
    <w:next w:val="CommentText"/>
    <w:link w:val="CommentSubjectChar"/>
    <w:uiPriority w:val="99"/>
    <w:rsid w:val="00AF387F"/>
    <w:rPr>
      <w:b/>
      <w:bCs/>
    </w:rPr>
  </w:style>
  <w:style w:type="character" w:customStyle="1" w:styleId="CommentSubjectChar">
    <w:name w:val="Comment Subject Char"/>
    <w:basedOn w:val="CommentTextChar"/>
    <w:link w:val="CommentSubject"/>
    <w:uiPriority w:val="99"/>
    <w:rsid w:val="00AF387F"/>
    <w:rPr>
      <w:rFonts w:ascii="Arial" w:hAnsi="Arial"/>
      <w:b/>
      <w:bCs/>
      <w:lang w:eastAsia="en-US" w:bidi="en-US"/>
    </w:rPr>
  </w:style>
  <w:style w:type="paragraph" w:styleId="DocumentMap">
    <w:name w:val="Document Map"/>
    <w:basedOn w:val="Normal"/>
    <w:link w:val="DocumentMapChar"/>
    <w:rsid w:val="00D22F3C"/>
    <w:rPr>
      <w:rFonts w:ascii="Tahoma" w:hAnsi="Tahoma" w:cs="Tahoma"/>
      <w:sz w:val="16"/>
      <w:szCs w:val="16"/>
    </w:rPr>
  </w:style>
  <w:style w:type="character" w:customStyle="1" w:styleId="DocumentMapChar">
    <w:name w:val="Document Map Char"/>
    <w:basedOn w:val="DefaultParagraphFont"/>
    <w:link w:val="DocumentMap"/>
    <w:rsid w:val="00D22F3C"/>
    <w:rPr>
      <w:rFonts w:ascii="Tahoma" w:hAnsi="Tahoma" w:cs="Tahoma"/>
      <w:sz w:val="16"/>
      <w:szCs w:val="16"/>
      <w:lang w:eastAsia="en-US" w:bidi="en-US"/>
    </w:rPr>
  </w:style>
  <w:style w:type="paragraph" w:customStyle="1" w:styleId="FSBullet1">
    <w:name w:val="FSBullet 1"/>
    <w:basedOn w:val="Normal"/>
    <w:next w:val="Normal"/>
    <w:link w:val="FSBullet1Char"/>
    <w:qFormat/>
    <w:rsid w:val="0029631C"/>
    <w:pPr>
      <w:widowControl/>
      <w:numPr>
        <w:numId w:val="2"/>
      </w:numPr>
      <w:ind w:left="567" w:hanging="567"/>
    </w:pPr>
    <w:rPr>
      <w:rFonts w:cs="Arial"/>
      <w:lang w:bidi="ar-SA"/>
    </w:rPr>
  </w:style>
  <w:style w:type="character" w:customStyle="1" w:styleId="FSBullet1Char">
    <w:name w:val="FSBullet 1 Char"/>
    <w:link w:val="FSBullet1"/>
    <w:rsid w:val="0029631C"/>
    <w:rPr>
      <w:rFonts w:ascii="Arial" w:hAnsi="Arial" w:cs="Arial"/>
      <w:sz w:val="22"/>
      <w:szCs w:val="24"/>
      <w:lang w:eastAsia="en-US"/>
    </w:rPr>
  </w:style>
  <w:style w:type="paragraph" w:customStyle="1" w:styleId="FSBullet2">
    <w:name w:val="FSBullet 2"/>
    <w:basedOn w:val="Normal"/>
    <w:qFormat/>
    <w:rsid w:val="0029631C"/>
    <w:pPr>
      <w:widowControl/>
      <w:numPr>
        <w:numId w:val="3"/>
      </w:numPr>
      <w:ind w:left="1134" w:hanging="567"/>
    </w:pPr>
    <w:rPr>
      <w:rFonts w:eastAsia="Calibri"/>
      <w:szCs w:val="22"/>
      <w:lang w:bidi="ar-SA"/>
    </w:rPr>
  </w:style>
  <w:style w:type="paragraph" w:customStyle="1" w:styleId="FSBullet3">
    <w:name w:val="FSBullet 3"/>
    <w:basedOn w:val="Normal"/>
    <w:qFormat/>
    <w:rsid w:val="0029631C"/>
    <w:pPr>
      <w:keepNext/>
      <w:widowControl/>
      <w:numPr>
        <w:numId w:val="4"/>
      </w:numPr>
      <w:ind w:left="1701" w:hanging="567"/>
    </w:pPr>
    <w:rPr>
      <w:rFonts w:eastAsia="Calibri"/>
      <w:b/>
      <w:szCs w:val="22"/>
      <w:lang w:bidi="ar-SA"/>
    </w:rPr>
  </w:style>
  <w:style w:type="table" w:styleId="MediumShading1-Accent3">
    <w:name w:val="Medium Shading 1 Accent 3"/>
    <w:basedOn w:val="TableNormal"/>
    <w:uiPriority w:val="63"/>
    <w:rsid w:val="00001CF2"/>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Emphasis">
    <w:name w:val="Emphasis"/>
    <w:basedOn w:val="DefaultParagraphFont"/>
    <w:qFormat/>
    <w:rsid w:val="00A128B3"/>
    <w:rPr>
      <w:i/>
      <w:iCs/>
    </w:rPr>
  </w:style>
  <w:style w:type="paragraph" w:styleId="HTMLPreformatted">
    <w:name w:val="HTML Preformatted"/>
    <w:basedOn w:val="Normal"/>
    <w:link w:val="HTMLPreformattedChar"/>
    <w:rsid w:val="00A128B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bidi="ar-SA"/>
    </w:rPr>
  </w:style>
  <w:style w:type="character" w:customStyle="1" w:styleId="HTMLPreformattedChar">
    <w:name w:val="HTML Preformatted Char"/>
    <w:basedOn w:val="DefaultParagraphFont"/>
    <w:link w:val="HTMLPreformatted"/>
    <w:rsid w:val="00A128B3"/>
    <w:rPr>
      <w:rFonts w:ascii="Courier New" w:hAnsi="Courier New" w:cs="Courier New"/>
      <w:lang w:val="en-AU" w:eastAsia="en-AU"/>
    </w:rPr>
  </w:style>
  <w:style w:type="paragraph" w:styleId="ListParagraph">
    <w:name w:val="List Paragraph"/>
    <w:basedOn w:val="Normal"/>
    <w:uiPriority w:val="34"/>
    <w:qFormat/>
    <w:rsid w:val="00A128B3"/>
    <w:pPr>
      <w:widowControl/>
      <w:ind w:left="720"/>
      <w:contextualSpacing/>
    </w:pPr>
    <w:rPr>
      <w:lang w:bidi="ar-SA"/>
    </w:rPr>
  </w:style>
  <w:style w:type="paragraph" w:customStyle="1" w:styleId="Two">
    <w:name w:val="Two"/>
    <w:basedOn w:val="Heading2"/>
    <w:link w:val="TwoChar"/>
    <w:autoRedefine/>
    <w:qFormat/>
    <w:rsid w:val="00F02AC1"/>
    <w:pPr>
      <w:keepLines/>
      <w:widowControl/>
      <w:numPr>
        <w:ilvl w:val="1"/>
      </w:numPr>
      <w:ind w:left="851" w:hanging="851"/>
    </w:pPr>
    <w:rPr>
      <w:rFonts w:eastAsiaTheme="majorEastAsia"/>
      <w:szCs w:val="28"/>
      <w:lang w:val="en-AU" w:bidi="en-US"/>
    </w:rPr>
  </w:style>
  <w:style w:type="character" w:customStyle="1" w:styleId="TwoChar">
    <w:name w:val="Two Char"/>
    <w:basedOn w:val="DefaultParagraphFont"/>
    <w:link w:val="Two"/>
    <w:rsid w:val="00F02AC1"/>
    <w:rPr>
      <w:rFonts w:ascii="Arial" w:eastAsiaTheme="majorEastAsia" w:hAnsi="Arial" w:cs="Arial"/>
      <w:b/>
      <w:bCs/>
      <w:sz w:val="28"/>
      <w:szCs w:val="28"/>
      <w:lang w:val="en-AU" w:eastAsia="en-US" w:bidi="en-US"/>
    </w:rPr>
  </w:style>
  <w:style w:type="table" w:customStyle="1" w:styleId="TableGrid1">
    <w:name w:val="Table Grid1"/>
    <w:basedOn w:val="TableNormal"/>
    <w:next w:val="TableGrid"/>
    <w:uiPriority w:val="59"/>
    <w:rsid w:val="0088503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923403"/>
    <w:rPr>
      <w:rFonts w:eastAsia="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2C2DE5"/>
    <w:rPr>
      <w:rFonts w:eastAsia="Calibr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7A3E94"/>
    <w:rPr>
      <w:rFonts w:eastAsia="Calibri"/>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2D7A25"/>
    <w:rPr>
      <w:rFonts w:eastAsia="Calibri"/>
      <w:lang w:val="en-NZ"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200B1"/>
    <w:rPr>
      <w:rFonts w:ascii="Arial" w:hAnsi="Arial"/>
      <w:sz w:val="22"/>
      <w:szCs w:val="24"/>
      <w:lang w:eastAsia="en-US" w:bidi="en-US"/>
    </w:rPr>
  </w:style>
  <w:style w:type="table" w:styleId="LightShading-Accent3">
    <w:name w:val="Light Shading Accent 3"/>
    <w:basedOn w:val="TableNormal"/>
    <w:uiPriority w:val="60"/>
    <w:rsid w:val="00CD5C76"/>
    <w:rPr>
      <w:rFonts w:ascii="Times New Roman" w:eastAsia="Calibri" w:hAnsi="Times New Roman"/>
      <w:color w:val="76923C" w:themeColor="accent3" w:themeShade="BF"/>
      <w:sz w:val="24"/>
      <w:szCs w:val="22"/>
      <w:lang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TableGrid31">
    <w:name w:val="Table Grid31"/>
    <w:basedOn w:val="TableNormal"/>
    <w:next w:val="TableGrid"/>
    <w:uiPriority w:val="59"/>
    <w:rsid w:val="00441601"/>
    <w:rPr>
      <w:rFonts w:eastAsia="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364292">
      <w:bodyDiv w:val="1"/>
      <w:marLeft w:val="0"/>
      <w:marRight w:val="0"/>
      <w:marTop w:val="0"/>
      <w:marBottom w:val="0"/>
      <w:divBdr>
        <w:top w:val="none" w:sz="0" w:space="0" w:color="auto"/>
        <w:left w:val="none" w:sz="0" w:space="0" w:color="auto"/>
        <w:bottom w:val="none" w:sz="0" w:space="0" w:color="auto"/>
        <w:right w:val="none" w:sz="0" w:space="0" w:color="auto"/>
      </w:divBdr>
    </w:div>
    <w:div w:id="181020046">
      <w:bodyDiv w:val="1"/>
      <w:marLeft w:val="0"/>
      <w:marRight w:val="0"/>
      <w:marTop w:val="0"/>
      <w:marBottom w:val="0"/>
      <w:divBdr>
        <w:top w:val="none" w:sz="0" w:space="0" w:color="auto"/>
        <w:left w:val="none" w:sz="0" w:space="0" w:color="auto"/>
        <w:bottom w:val="none" w:sz="0" w:space="0" w:color="auto"/>
        <w:right w:val="none" w:sz="0" w:space="0" w:color="auto"/>
      </w:divBdr>
    </w:div>
    <w:div w:id="425465262">
      <w:bodyDiv w:val="1"/>
      <w:marLeft w:val="0"/>
      <w:marRight w:val="0"/>
      <w:marTop w:val="0"/>
      <w:marBottom w:val="0"/>
      <w:divBdr>
        <w:top w:val="none" w:sz="0" w:space="0" w:color="auto"/>
        <w:left w:val="none" w:sz="0" w:space="0" w:color="auto"/>
        <w:bottom w:val="none" w:sz="0" w:space="0" w:color="auto"/>
        <w:right w:val="none" w:sz="0" w:space="0" w:color="auto"/>
      </w:divBdr>
    </w:div>
    <w:div w:id="547835598">
      <w:bodyDiv w:val="1"/>
      <w:marLeft w:val="0"/>
      <w:marRight w:val="0"/>
      <w:marTop w:val="0"/>
      <w:marBottom w:val="0"/>
      <w:divBdr>
        <w:top w:val="none" w:sz="0" w:space="0" w:color="auto"/>
        <w:left w:val="none" w:sz="0" w:space="0" w:color="auto"/>
        <w:bottom w:val="none" w:sz="0" w:space="0" w:color="auto"/>
        <w:right w:val="none" w:sz="0" w:space="0" w:color="auto"/>
      </w:divBdr>
    </w:div>
    <w:div w:id="622078013">
      <w:bodyDiv w:val="1"/>
      <w:marLeft w:val="0"/>
      <w:marRight w:val="0"/>
      <w:marTop w:val="0"/>
      <w:marBottom w:val="0"/>
      <w:divBdr>
        <w:top w:val="none" w:sz="0" w:space="0" w:color="auto"/>
        <w:left w:val="none" w:sz="0" w:space="0" w:color="auto"/>
        <w:bottom w:val="none" w:sz="0" w:space="0" w:color="auto"/>
        <w:right w:val="none" w:sz="0" w:space="0" w:color="auto"/>
      </w:divBdr>
    </w:div>
    <w:div w:id="781342757">
      <w:bodyDiv w:val="1"/>
      <w:marLeft w:val="0"/>
      <w:marRight w:val="0"/>
      <w:marTop w:val="0"/>
      <w:marBottom w:val="0"/>
      <w:divBdr>
        <w:top w:val="none" w:sz="0" w:space="0" w:color="auto"/>
        <w:left w:val="none" w:sz="0" w:space="0" w:color="auto"/>
        <w:bottom w:val="none" w:sz="0" w:space="0" w:color="auto"/>
        <w:right w:val="none" w:sz="0" w:space="0" w:color="auto"/>
      </w:divBdr>
    </w:div>
    <w:div w:id="800735529">
      <w:bodyDiv w:val="1"/>
      <w:marLeft w:val="0"/>
      <w:marRight w:val="0"/>
      <w:marTop w:val="0"/>
      <w:marBottom w:val="0"/>
      <w:divBdr>
        <w:top w:val="none" w:sz="0" w:space="0" w:color="auto"/>
        <w:left w:val="none" w:sz="0" w:space="0" w:color="auto"/>
        <w:bottom w:val="none" w:sz="0" w:space="0" w:color="auto"/>
        <w:right w:val="none" w:sz="0" w:space="0" w:color="auto"/>
      </w:divBdr>
    </w:div>
    <w:div w:id="907112463">
      <w:bodyDiv w:val="1"/>
      <w:marLeft w:val="0"/>
      <w:marRight w:val="0"/>
      <w:marTop w:val="0"/>
      <w:marBottom w:val="0"/>
      <w:divBdr>
        <w:top w:val="none" w:sz="0" w:space="0" w:color="auto"/>
        <w:left w:val="none" w:sz="0" w:space="0" w:color="auto"/>
        <w:bottom w:val="none" w:sz="0" w:space="0" w:color="auto"/>
        <w:right w:val="none" w:sz="0" w:space="0" w:color="auto"/>
      </w:divBdr>
    </w:div>
    <w:div w:id="1181433658">
      <w:bodyDiv w:val="1"/>
      <w:marLeft w:val="0"/>
      <w:marRight w:val="0"/>
      <w:marTop w:val="0"/>
      <w:marBottom w:val="0"/>
      <w:divBdr>
        <w:top w:val="none" w:sz="0" w:space="0" w:color="auto"/>
        <w:left w:val="none" w:sz="0" w:space="0" w:color="auto"/>
        <w:bottom w:val="none" w:sz="0" w:space="0" w:color="auto"/>
        <w:right w:val="none" w:sz="0" w:space="0" w:color="auto"/>
      </w:divBdr>
    </w:div>
    <w:div w:id="1274899734">
      <w:bodyDiv w:val="1"/>
      <w:marLeft w:val="0"/>
      <w:marRight w:val="0"/>
      <w:marTop w:val="0"/>
      <w:marBottom w:val="0"/>
      <w:divBdr>
        <w:top w:val="none" w:sz="0" w:space="0" w:color="auto"/>
        <w:left w:val="none" w:sz="0" w:space="0" w:color="auto"/>
        <w:bottom w:val="none" w:sz="0" w:space="0" w:color="auto"/>
        <w:right w:val="none" w:sz="0" w:space="0" w:color="auto"/>
      </w:divBdr>
    </w:div>
    <w:div w:id="1291478846">
      <w:bodyDiv w:val="1"/>
      <w:marLeft w:val="0"/>
      <w:marRight w:val="0"/>
      <w:marTop w:val="0"/>
      <w:marBottom w:val="0"/>
      <w:divBdr>
        <w:top w:val="none" w:sz="0" w:space="0" w:color="auto"/>
        <w:left w:val="none" w:sz="0" w:space="0" w:color="auto"/>
        <w:bottom w:val="none" w:sz="0" w:space="0" w:color="auto"/>
        <w:right w:val="none" w:sz="0" w:space="0" w:color="auto"/>
      </w:divBdr>
    </w:div>
    <w:div w:id="1602296212">
      <w:bodyDiv w:val="1"/>
      <w:marLeft w:val="0"/>
      <w:marRight w:val="0"/>
      <w:marTop w:val="0"/>
      <w:marBottom w:val="0"/>
      <w:divBdr>
        <w:top w:val="none" w:sz="0" w:space="0" w:color="auto"/>
        <w:left w:val="none" w:sz="0" w:space="0" w:color="auto"/>
        <w:bottom w:val="none" w:sz="0" w:space="0" w:color="auto"/>
        <w:right w:val="none" w:sz="0" w:space="0" w:color="auto"/>
      </w:divBdr>
    </w:div>
    <w:div w:id="1787115834">
      <w:bodyDiv w:val="1"/>
      <w:marLeft w:val="0"/>
      <w:marRight w:val="0"/>
      <w:marTop w:val="0"/>
      <w:marBottom w:val="0"/>
      <w:divBdr>
        <w:top w:val="none" w:sz="0" w:space="0" w:color="auto"/>
        <w:left w:val="none" w:sz="0" w:space="0" w:color="auto"/>
        <w:bottom w:val="none" w:sz="0" w:space="0" w:color="auto"/>
        <w:right w:val="none" w:sz="0" w:space="0" w:color="auto"/>
      </w:divBdr>
    </w:div>
    <w:div w:id="19238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tiff"/><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whqlibdoc.who.int/publications/2005/9241546786_eng.pdf"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tiff"/><Relationship Id="rId25" Type="http://schemas.openxmlformats.org/officeDocument/2006/relationships/image" Target="media/image7.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comlaw.gov.au/Series/F2008B00618"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foodsafety.govt.nz/elibrary/industry/tutin-honey-cover-letter/tutin-in-honey-discussion-paper-final-for-web.pdf" TargetMode="External"/><Relationship Id="rId28" Type="http://schemas.openxmlformats.org/officeDocument/2006/relationships/image" Target="media/image10.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www.maf.govt.nz/sff/about-projects/search/L07-041/technical-report.pdf" TargetMode="External"/><Relationship Id="rId27" Type="http://schemas.openxmlformats.org/officeDocument/2006/relationships/image" Target="media/image9.jpeg"/><Relationship Id="rId30"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01D7F6-4E32-4D9E-BE1C-149BE0560159}"/>
</file>

<file path=customXml/itemProps2.xml><?xml version="1.0" encoding="utf-8"?>
<ds:datastoreItem xmlns:ds="http://schemas.openxmlformats.org/officeDocument/2006/customXml" ds:itemID="{628343D4-4F61-4984-945B-AB3B8D62818D}"/>
</file>

<file path=customXml/itemProps3.xml><?xml version="1.0" encoding="utf-8"?>
<ds:datastoreItem xmlns:ds="http://schemas.openxmlformats.org/officeDocument/2006/customXml" ds:itemID="{F927E0C2-0162-4C8F-B9ED-63171B110F2E}"/>
</file>

<file path=customXml/itemProps4.xml><?xml version="1.0" encoding="utf-8"?>
<ds:datastoreItem xmlns:ds="http://schemas.openxmlformats.org/officeDocument/2006/customXml" ds:itemID="{72A9B49D-CA48-465C-8A97-FF4F4FBF805C}"/>
</file>

<file path=docProps/app.xml><?xml version="1.0" encoding="utf-8"?>
<Properties xmlns="http://schemas.openxmlformats.org/officeDocument/2006/extended-properties" xmlns:vt="http://schemas.openxmlformats.org/officeDocument/2006/docPropsVTypes">
  <Template>Normal</Template>
  <TotalTime>0</TotalTime>
  <Pages>39</Pages>
  <Words>16038</Words>
  <Characters>89169</Characters>
  <Application>Microsoft Office Word</Application>
  <DocSecurity>0</DocSecurity>
  <Lines>743</Lines>
  <Paragraphs>209</Paragraphs>
  <ScaleCrop>false</ScaleCrop>
  <Company/>
  <LinksUpToDate>false</LinksUpToDate>
  <CharactersWithSpaces>104998</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P1029-Tutin-AppRSD1-RiskAssessment</dc:title>
  <dc:creator/>
  <cp:lastModifiedBy/>
  <cp:revision>1</cp:revision>
  <dcterms:created xsi:type="dcterms:W3CDTF">2014-10-31T00:15:00Z</dcterms:created>
  <dcterms:modified xsi:type="dcterms:W3CDTF">2014-10-31T00:15:00Z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0x010100FB86A4CA77FAD24FB4C8632D8CBF0C4A</vt:lpwstr>
  </property>
</Properties>
</file>